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676B9" w14:textId="70257B42" w:rsidR="00AD571F" w:rsidRPr="00AD571F" w:rsidRDefault="00AD571F" w:rsidP="00AD571F">
      <w:r w:rsidRPr="00AD571F">
        <w:rPr>
          <w:b/>
          <w:bCs/>
        </w:rPr>
        <w:t>Ettepanek "Elektrisüsteemi toimimise võrgueeskirja" muutmiseks seoses taaskäivituse võimekuse han</w:t>
      </w:r>
      <w:r w:rsidR="009507BD">
        <w:rPr>
          <w:b/>
          <w:bCs/>
        </w:rPr>
        <w:t>ke</w:t>
      </w:r>
      <w:r w:rsidRPr="00AD571F">
        <w:rPr>
          <w:b/>
          <w:bCs/>
        </w:rPr>
        <w:t xml:space="preserve"> ja põhivõrguga liitumise tingimustega</w:t>
      </w:r>
    </w:p>
    <w:p w14:paraId="40F5527A" w14:textId="77777777" w:rsidR="00AD571F" w:rsidRDefault="00AD571F" w:rsidP="00AD571F">
      <w:r w:rsidRPr="00AD571F">
        <w:t>Lugupeetud Elering AS ja Kliimaministeerium</w:t>
      </w:r>
    </w:p>
    <w:p w14:paraId="5318850C" w14:textId="77777777" w:rsidR="00AD571F" w:rsidRPr="00AD571F" w:rsidRDefault="00AD571F" w:rsidP="00AD571F"/>
    <w:p w14:paraId="1E69DFCC" w14:textId="77777777" w:rsidR="00AD571F" w:rsidRPr="00AD571F" w:rsidRDefault="00AD571F" w:rsidP="00AD571F">
      <w:r w:rsidRPr="00AD571F">
        <w:t>Soovime juhtida tähelepanu asjaolule, et taaskäivituse võimekuse hankes osalemise üheks olulisemaks eelduseks on pakkuja kindlus, et tal on võimalik hanke tingimustele vastava tootmisseadme rajamiseks saada põhivõrguühendus.</w:t>
      </w:r>
    </w:p>
    <w:p w14:paraId="5EBB67E7" w14:textId="77777777" w:rsidR="00AD571F" w:rsidRPr="00AD571F" w:rsidRDefault="00AD571F" w:rsidP="00AD571F">
      <w:r w:rsidRPr="00AD571F">
        <w:t>Kehtiv regulatsioon, mille kohaselt tuleb </w:t>
      </w:r>
      <w:r w:rsidRPr="00AD571F">
        <w:rPr>
          <w:b/>
          <w:bCs/>
        </w:rPr>
        <w:t>"Elektrisüsteemi toimimise võrgueeskirja" § 21 lõike 5</w:t>
      </w:r>
      <w:r w:rsidRPr="00AD571F">
        <w:t> alusel ning </w:t>
      </w:r>
      <w:r w:rsidRPr="00AD571F">
        <w:rPr>
          <w:b/>
          <w:bCs/>
        </w:rPr>
        <w:t>Elektrituruseaduse § 72 lõike 6³</w:t>
      </w:r>
      <w:r w:rsidRPr="00AD571F">
        <w:t> kohaselt tasuda võrgutugevdustasu, võrguühendustasu, toimingutasu ja projektijuhtimise tasu liitumislepingu sõlmimisest arvates 60 päeva jooksul, kui ei ole kokku lepitud teisiti, seab uutele tootmisinvesteeringutele ebaproportsionaalselt suure finantskoormuse. Selline regulatsioon võib vähendada taaskäivituse võimekuse hangetel osalejate arvu ning pidurdada uute energiamahukate investeeringute tegemist Eestis.</w:t>
      </w:r>
    </w:p>
    <w:p w14:paraId="568DFE1B" w14:textId="77777777" w:rsidR="00AD571F" w:rsidRPr="00AD571F" w:rsidRDefault="00AD571F" w:rsidP="00AD571F">
      <w:pPr>
        <w:rPr>
          <w:b/>
          <w:bCs/>
        </w:rPr>
      </w:pPr>
      <w:r w:rsidRPr="00AD571F">
        <w:rPr>
          <w:b/>
          <w:bCs/>
        </w:rPr>
        <w:t>Näide regulatsiooni praktilisest mõjust</w:t>
      </w:r>
    </w:p>
    <w:p w14:paraId="205A2EF2" w14:textId="77777777" w:rsidR="00AD571F" w:rsidRPr="00AD571F" w:rsidRDefault="00AD571F" w:rsidP="00AD571F">
      <w:r w:rsidRPr="00AD571F">
        <w:t>Oletame, et investor soovib rajada Eestisse 100 MW gaasielektrijaama ning osaleda Eleringi korraldataval hajutatud taaskäivitamise võimekuse teenuse hankel.</w:t>
      </w:r>
    </w:p>
    <w:p w14:paraId="3EC7CB49" w14:textId="77777777" w:rsidR="00AD571F" w:rsidRPr="00AD571F" w:rsidRDefault="00AD571F" w:rsidP="00AD571F">
      <w:r w:rsidRPr="00AD571F">
        <w:t>Siduva pakkumise esitamiseks peab investor olema veendunud, et tal on võimalik saada hanke tehnilistele tingimustele vastav põhivõrguühendus. Praktikas tähendab see, et edukaks osutunud pakkujal tuleb enne hankelepingu sõlmimist sõlmida Eleringiga liitumisleping. Vastasel juhul puudub tal õiguskindlus, et vajalik võrguühendus üldse rajatakse.</w:t>
      </w:r>
    </w:p>
    <w:p w14:paraId="11CE9367" w14:textId="77777777" w:rsidR="00AD571F" w:rsidRPr="00AD571F" w:rsidRDefault="00AD571F" w:rsidP="00AD571F">
      <w:r w:rsidRPr="00AD571F">
        <w:t>Kehtiva regulatsiooni kohaselt tuleb pärast liitumislepingu sõlmimist tasuda kogu liitumistasu 100% ulatuses 60 päeva jooksul. Liitumisleping jõustub ning liitumise rajamise tähtaeg hakkab kulgema alles pärast kogu summa laekumist.</w:t>
      </w:r>
    </w:p>
    <w:p w14:paraId="3CF98EC4" w14:textId="77777777" w:rsidR="00AD571F" w:rsidRPr="00AD571F" w:rsidRDefault="00AD571F" w:rsidP="00AD571F">
      <w:r w:rsidRPr="00AD571F">
        <w:t>Kirjeldatud näite puhul võib see tähendada ligikaudu 10 miljoni euro suurust ettemaksu ning 2,5–3-aastast ooteaega enne võrguühenduse valmimist.</w:t>
      </w:r>
    </w:p>
    <w:p w14:paraId="4CE6BF75" w14:textId="77777777" w:rsidR="00AD571F" w:rsidRPr="00AD571F" w:rsidRDefault="00AD571F" w:rsidP="00AD571F">
      <w:pPr>
        <w:rPr>
          <w:b/>
          <w:bCs/>
        </w:rPr>
      </w:pPr>
      <w:r w:rsidRPr="00AD571F">
        <w:rPr>
          <w:b/>
          <w:bCs/>
        </w:rPr>
        <w:t>Regulatsiooni mõju investeerimiskeskkonnale</w:t>
      </w:r>
    </w:p>
    <w:p w14:paraId="4B4BC591" w14:textId="77777777" w:rsidR="00AD571F" w:rsidRPr="00AD571F" w:rsidRDefault="00AD571F" w:rsidP="00AD571F">
      <w:r w:rsidRPr="00AD571F">
        <w:t>Selline täieliku ettemaksu nõue tähendab, et investor peab siduma märkimisväärse kapitali mitmeks aastaks ilma sellelt tulu teenimata.</w:t>
      </w:r>
    </w:p>
    <w:p w14:paraId="34E73241" w14:textId="77777777" w:rsidR="00AD571F" w:rsidRPr="00AD571F" w:rsidRDefault="00AD571F" w:rsidP="00AD571F">
      <w:r w:rsidRPr="00AD571F">
        <w:t>Näiteks 10 miljoni euro suuruse ettemakse puhul kujuneb kapitali alternatiivkulu 8% aastase kapitalikulu eeldusel ligikaudu:</w:t>
      </w:r>
    </w:p>
    <w:p w14:paraId="247FB4A4" w14:textId="77777777" w:rsidR="00AD571F" w:rsidRPr="00AD571F" w:rsidRDefault="00AD571F" w:rsidP="00AD571F">
      <w:pPr>
        <w:numPr>
          <w:ilvl w:val="0"/>
          <w:numId w:val="1"/>
        </w:numPr>
      </w:pPr>
      <w:r w:rsidRPr="00AD571F">
        <w:lastRenderedPageBreak/>
        <w:t>800 000 eurot aastas;</w:t>
      </w:r>
    </w:p>
    <w:p w14:paraId="5241C6ED" w14:textId="77777777" w:rsidR="00AD571F" w:rsidRPr="00AD571F" w:rsidRDefault="00AD571F" w:rsidP="00AD571F">
      <w:pPr>
        <w:numPr>
          <w:ilvl w:val="0"/>
          <w:numId w:val="1"/>
        </w:numPr>
      </w:pPr>
      <w:r w:rsidRPr="00AD571F">
        <w:t>ligikaudu 2,4 miljonit eurot kolme aasta jooksul.</w:t>
      </w:r>
    </w:p>
    <w:p w14:paraId="407959A6" w14:textId="706CA355" w:rsidR="00AD571F" w:rsidRPr="00AD571F" w:rsidRDefault="00AD571F" w:rsidP="00AD571F">
      <w:r w:rsidRPr="00AD571F">
        <w:t>Majanduslikult suurendab see investori tegelikku liitumiskulu ning vähendab projekti tasuvust. Samal ajal saab põhivõrguettevõtja kasutada laekunud vahendeid võrguinvesteeringute rahastamiseks</w:t>
      </w:r>
      <w:r>
        <w:t xml:space="preserve"> või muuks ots</w:t>
      </w:r>
      <w:r w:rsidR="00681A84">
        <w:t>t</w:t>
      </w:r>
      <w:r>
        <w:t>arbeks</w:t>
      </w:r>
      <w:r w:rsidRPr="00AD571F">
        <w:t>.</w:t>
      </w:r>
    </w:p>
    <w:p w14:paraId="0A711032" w14:textId="77777777" w:rsidR="00AD571F" w:rsidRPr="00AD571F" w:rsidRDefault="00AD571F" w:rsidP="00AD571F">
      <w:r w:rsidRPr="00AD571F">
        <w:t>Kuigi kehtiv regulatsioon vähendab põhivõrguettevõtja finantsriski, võib see samal ajal piirata uute tootmisinvesteeringute ning taaskäivituse võimekuse hangetel osalejate arvu.</w:t>
      </w:r>
    </w:p>
    <w:p w14:paraId="2E870E4E" w14:textId="77777777" w:rsidR="00AD571F" w:rsidRPr="00AD571F" w:rsidRDefault="00AD571F" w:rsidP="00AD571F">
      <w:pPr>
        <w:rPr>
          <w:b/>
          <w:bCs/>
        </w:rPr>
      </w:pPr>
      <w:r w:rsidRPr="00AD571F">
        <w:rPr>
          <w:b/>
          <w:bCs/>
        </w:rPr>
        <w:t>Ettepanek</w:t>
      </w:r>
    </w:p>
    <w:p w14:paraId="0E3C8C66" w14:textId="77777777" w:rsidR="00AD571F" w:rsidRPr="00AD571F" w:rsidRDefault="00AD571F" w:rsidP="00AD571F">
      <w:r w:rsidRPr="00AD571F">
        <w:t>Teeme ettepaneku muuta </w:t>
      </w:r>
      <w:r w:rsidRPr="00AD571F">
        <w:rPr>
          <w:b/>
          <w:bCs/>
        </w:rPr>
        <w:t>"Elektrisüsteemi toimimise võrgueeskirja" § 21</w:t>
      </w:r>
      <w:r w:rsidRPr="00AD571F">
        <w:t> selliselt, et ka võimsusepõhise liitumise korral oleks võimalik tasuda liitumistasu osamaksetena analoogselt § 21 lõikes 2 sätestatud korraga.</w:t>
      </w:r>
    </w:p>
    <w:p w14:paraId="43E2D229" w14:textId="77777777" w:rsidR="00AD571F" w:rsidRPr="00AD571F" w:rsidRDefault="00AD571F" w:rsidP="00AD571F">
      <w:r w:rsidRPr="00AD571F">
        <w:t>Ettepaneku kohaselt võiks maksegraafik olla järgmine:</w:t>
      </w:r>
    </w:p>
    <w:p w14:paraId="6FA55611" w14:textId="77777777" w:rsidR="00AD571F" w:rsidRPr="00AD571F" w:rsidRDefault="00AD571F" w:rsidP="00AD571F">
      <w:pPr>
        <w:numPr>
          <w:ilvl w:val="0"/>
          <w:numId w:val="2"/>
        </w:numPr>
      </w:pPr>
      <w:r w:rsidRPr="00AD571F">
        <w:t>esimene osamakse – 20% esialgsest liitumistasust;</w:t>
      </w:r>
    </w:p>
    <w:p w14:paraId="34E3CEF3" w14:textId="77777777" w:rsidR="00AD571F" w:rsidRPr="00AD571F" w:rsidRDefault="00AD571F" w:rsidP="00AD571F">
      <w:pPr>
        <w:numPr>
          <w:ilvl w:val="0"/>
          <w:numId w:val="2"/>
        </w:numPr>
      </w:pPr>
      <w:r w:rsidRPr="00AD571F">
        <w:t>teine osamakse – 50% esialgsest liitumistasust;</w:t>
      </w:r>
    </w:p>
    <w:p w14:paraId="22871506" w14:textId="77777777" w:rsidR="00AD571F" w:rsidRPr="00AD571F" w:rsidRDefault="00AD571F" w:rsidP="00AD571F">
      <w:pPr>
        <w:numPr>
          <w:ilvl w:val="0"/>
          <w:numId w:val="2"/>
        </w:numPr>
      </w:pPr>
      <w:r w:rsidRPr="00AD571F">
        <w:t>kolmas osamakse – tegelike kulude ja eelnevate maksete vahe.</w:t>
      </w:r>
    </w:p>
    <w:p w14:paraId="333E4B5E" w14:textId="77777777" w:rsidR="00AD571F" w:rsidRPr="00AD571F" w:rsidRDefault="00AD571F" w:rsidP="00AD571F">
      <w:r w:rsidRPr="00AD571F">
        <w:t>Maksetähtajad võiksid jääda samaks nagu kehtivas § 21 lõigetes 3 ja 4.</w:t>
      </w:r>
    </w:p>
    <w:p w14:paraId="77DE13DC" w14:textId="77777777" w:rsidR="00AD571F" w:rsidRPr="00AD571F" w:rsidRDefault="00AD571F" w:rsidP="00AD571F">
      <w:pPr>
        <w:rPr>
          <w:b/>
          <w:bCs/>
        </w:rPr>
      </w:pPr>
      <w:r w:rsidRPr="00AD571F">
        <w:rPr>
          <w:b/>
          <w:bCs/>
        </w:rPr>
        <w:t>Lepingu täitmise tagamine</w:t>
      </w:r>
    </w:p>
    <w:p w14:paraId="1DACE066" w14:textId="77777777" w:rsidR="00AD571F" w:rsidRPr="00AD571F" w:rsidRDefault="00AD571F" w:rsidP="00AD571F">
      <w:r w:rsidRPr="00AD571F">
        <w:t>Vältimaks olukorda, kus liitumisvõimsusi reserveeritakse ilma tegeliku investeerimissoovita, teeme ettepaneku sätestada, et kui liitumislepingu sõlminud isik ei tasu järgmisi makseid kokkulepitud tähtaja jooksul (näiteks 30 päeva jooksul), lõpeb liitumisleping automaatselt ning kõik selle alusel tasutud summad jäävad põhivõrguettevõtjale leppetrahvina.</w:t>
      </w:r>
    </w:p>
    <w:p w14:paraId="0C297E1A" w14:textId="77777777" w:rsidR="00AD571F" w:rsidRPr="00AD571F" w:rsidRDefault="00AD571F" w:rsidP="00AD571F">
      <w:r w:rsidRPr="00AD571F">
        <w:t>Selline regulatsioon tagaks, et liitumislepinguid sõlmivad üksnes tegelikud investorid ning väldiks põhjendamatuid võimsusbroneeringuid.</w:t>
      </w:r>
    </w:p>
    <w:p w14:paraId="2ED76524" w14:textId="77777777" w:rsidR="00AD571F" w:rsidRPr="00AD571F" w:rsidRDefault="00AD571F" w:rsidP="00AD571F">
      <w:pPr>
        <w:rPr>
          <w:b/>
          <w:bCs/>
        </w:rPr>
      </w:pPr>
      <w:r w:rsidRPr="00AD571F">
        <w:rPr>
          <w:b/>
          <w:bCs/>
        </w:rPr>
        <w:t>Vastus Eleringi senistele põhjendustele</w:t>
      </w:r>
    </w:p>
    <w:p w14:paraId="184FEAAD" w14:textId="434C79C8" w:rsidR="00AD571F" w:rsidRPr="00AD571F" w:rsidRDefault="00AD571F" w:rsidP="00AD571F">
      <w:r w:rsidRPr="00AD571F">
        <w:t>Elering on põhjendanud 100% ettemaksu nõuet vajadusega vältida nn "igaks juhuks" tehtavaid võimsusbroneeringuid</w:t>
      </w:r>
      <w:r w:rsidR="00EA1EC9">
        <w:t xml:space="preserve"> ning maandada oma riske</w:t>
      </w:r>
      <w:r w:rsidRPr="00AD571F">
        <w:t>.</w:t>
      </w:r>
    </w:p>
    <w:p w14:paraId="4CEAA518" w14:textId="77777777" w:rsidR="00AD571F" w:rsidRPr="00AD571F" w:rsidRDefault="00AD571F" w:rsidP="00AD571F">
      <w:r w:rsidRPr="00AD571F">
        <w:t>Leiame, et selline võrdlus ei ole täielikult asjakohane.</w:t>
      </w:r>
    </w:p>
    <w:p w14:paraId="60CC770A" w14:textId="77777777" w:rsidR="00AD571F" w:rsidRPr="00AD571F" w:rsidRDefault="00AD571F" w:rsidP="00AD571F">
      <w:r w:rsidRPr="00AD571F">
        <w:t xml:space="preserve">Tasuta või vähese kuluga tehtud võimsusbroneeringut ei saa võrdsustada olukorraga, kus investor on sõlminud siduva liitumislepingu ning tasunud näiteks 20% liitumistasust. </w:t>
      </w:r>
      <w:r w:rsidRPr="00AD571F">
        <w:lastRenderedPageBreak/>
        <w:t>Eeltoodud näite korral tähendaks see ligikaudu 2 miljoni euro suurust kohest rahalist kohustust.</w:t>
      </w:r>
    </w:p>
    <w:p w14:paraId="1EFF9500" w14:textId="77777777" w:rsidR="00AD571F" w:rsidRPr="00AD571F" w:rsidRDefault="00AD571F" w:rsidP="00AD571F">
      <w:r w:rsidRPr="00AD571F">
        <w:t>Sellise investeeringu teinud ettevõtjal on ilmne majanduslik huvi projekt lõpule viia ning vältida juba tasutud summa kaotamist.</w:t>
      </w:r>
    </w:p>
    <w:p w14:paraId="4E03D6B9" w14:textId="77777777" w:rsidR="00AD571F" w:rsidRPr="00AD571F" w:rsidRDefault="00AD571F" w:rsidP="00AD571F">
      <w:r w:rsidRPr="00AD571F">
        <w:t>Elering on viidanud ka riskile, et investor võib projekti ebaõnnestumise tõttu jätta hilisemad osamaksed tasumata.</w:t>
      </w:r>
    </w:p>
    <w:p w14:paraId="04515A1E" w14:textId="77777777" w:rsidR="00AD571F" w:rsidRPr="00AD571F" w:rsidRDefault="00AD571F" w:rsidP="00AD571F">
      <w:r w:rsidRPr="00AD571F">
        <w:t>Selle riski maandamiseks teeme ettepaneku kaaluda mehhanismi, mille kohaselt võiks tasumata jäänud investeeringu osa ajutiselt katta võrgutasude kaudu. Kui sama liitumispunkti kasutusele võtab uus liituja, kes tasub liitumistasu täies ulatuses, arvestatakse eelnevalt võrgutasude kaudu kaetud summa vastavalt maha.</w:t>
      </w:r>
    </w:p>
    <w:p w14:paraId="3FFADB62" w14:textId="77777777" w:rsidR="00AD571F" w:rsidRPr="00AD571F" w:rsidRDefault="00AD571F" w:rsidP="00AD571F">
      <w:r w:rsidRPr="00AD571F">
        <w:t>Selline lahendus võimaldaks maandada põhivõrguettevõtja finantsriski, vähendamata samal ajal uute investorite võimalusi turule siseneda.</w:t>
      </w:r>
    </w:p>
    <w:p w14:paraId="15BF1812" w14:textId="77777777" w:rsidR="00AD571F" w:rsidRPr="00AD571F" w:rsidRDefault="00AD571F" w:rsidP="00AD571F">
      <w:pPr>
        <w:rPr>
          <w:b/>
          <w:bCs/>
        </w:rPr>
      </w:pPr>
      <w:r w:rsidRPr="00AD571F">
        <w:rPr>
          <w:b/>
          <w:bCs/>
        </w:rPr>
        <w:t>Põhivõrgu ennetav arendamine</w:t>
      </w:r>
    </w:p>
    <w:p w14:paraId="3EC14452" w14:textId="77FE616E" w:rsidR="00AD571F" w:rsidRDefault="00AD571F" w:rsidP="00057BDF">
      <w:r>
        <w:t>Leiame, et käesoleva ettepaneku hindamisel tuleb arvestada ka põhivõrguettevõtjale seadusega pandud arenduskohustust.</w:t>
      </w:r>
    </w:p>
    <w:p w14:paraId="69B283A0" w14:textId="77777777" w:rsidR="00057BDF" w:rsidRPr="00AD571F" w:rsidRDefault="00057BDF" w:rsidP="00057BDF">
      <w:r w:rsidRPr="00AD571F">
        <w:t>Praegu rahastab iga uus investor sisuliselt täielikult tema liitumiseks vajaliku võrgu rajamise. Kui vajalik infrastruktuur oleks osaliselt juba eelnevalt välja ehitatud, väheneks projektide elluviimise aeg ning suureneks Eesti atraktiivsus suurinvesteeringute sihtriigina.</w:t>
      </w:r>
    </w:p>
    <w:p w14:paraId="00708771" w14:textId="0E8B6C34" w:rsidR="00057BDF" w:rsidRPr="00AD571F" w:rsidRDefault="00057BDF" w:rsidP="00057BDF">
      <w:r w:rsidRPr="00AD571F">
        <w:t>Analoogse põhimõtte järgi toimub kinnisvaraarendus: enne kinnistute müüki rajatakse vajalik taristu (teed, elektri-, vee- ja kanalisatsioonivõrgud), mille maksumus kaetakse hiljem kinnistute müügist. Praktikas loob esmalt rajatud infrastruktuur eeldused investeeringute t</w:t>
      </w:r>
      <w:r w:rsidR="00AB6E55">
        <w:t>ulekuks</w:t>
      </w:r>
      <w:r w:rsidRPr="00AD571F">
        <w:t>, mitte vastupidi.</w:t>
      </w:r>
    </w:p>
    <w:p w14:paraId="7808A641" w14:textId="77777777" w:rsidR="00057BDF" w:rsidRPr="00AD571F" w:rsidRDefault="00057BDF" w:rsidP="00057BDF">
      <w:r w:rsidRPr="00AD571F">
        <w:t>Sarnane lähenemine võiks olla põhjendatud ka elektrivõrgu arendamisel.</w:t>
      </w:r>
    </w:p>
    <w:p w14:paraId="1766D336" w14:textId="77777777" w:rsidR="00AD571F" w:rsidRDefault="00AD571F" w:rsidP="00AD571F">
      <w:r>
        <w:t>Elektrituruseaduse kohaselt ei ole põhivõrguettevõtja ülesanne üksnes olemasoleva võrgu käitamine, vaid ka elektrisüsteemi arendamine selliselt, et oleks tagatud elektrisüsteemi töökindlus, varustuskindlus ning turuosaliste põhjendatud liitumisvajadused.</w:t>
      </w:r>
    </w:p>
    <w:p w14:paraId="3EAA4FBC" w14:textId="77777777" w:rsidR="00AD571F" w:rsidRDefault="00AD571F" w:rsidP="00AD571F">
      <w:r>
        <w:t xml:space="preserve">Muuhulgas sätestab </w:t>
      </w:r>
      <w:r w:rsidRPr="00057BDF">
        <w:rPr>
          <w:b/>
          <w:bCs/>
        </w:rPr>
        <w:t>Elektrituruseaduse § 66</w:t>
      </w:r>
      <w:r>
        <w:t xml:space="preserve">, et võrguettevõtja koostab vähemalt iga kahe aasta järel kümneaastase võrgu arengukava, milles määratakse kindlaks järgmise kümne aasta jooksul vajalikud võrguinvesteeringud ning võrgu arendamise meetmed. Arengukava eesmärk on tagada võrgu piisav areng vastavalt prognoositavale tootmise ja tarbimise kasvule. </w:t>
      </w:r>
    </w:p>
    <w:p w14:paraId="4ED09205" w14:textId="74ECC0A7" w:rsidR="00AD571F" w:rsidRDefault="00AD571F" w:rsidP="00057BDF">
      <w:r>
        <w:lastRenderedPageBreak/>
        <w:t xml:space="preserve">Lisaks tuleneb </w:t>
      </w:r>
      <w:r w:rsidRPr="00057BDF">
        <w:rPr>
          <w:b/>
          <w:bCs/>
        </w:rPr>
        <w:t>Euroopa Parlamendi ja nõukogu määruse (EL) 2019/943 artiklitest 51 ja 52</w:t>
      </w:r>
      <w:r>
        <w:t>, et põhivõrguettevõtja peab arendama ülekandevõrku majanduslikult põhjendatud viisil, tagades süsteemi pikaajalise töökindluse, varustuskindluse ning piisava ülekandevõimsuse. Võrgu arendamisel tuleb lähtuda tulevikuvajadustest, mitte üksnes olemasolevatest ühendustest.</w:t>
      </w:r>
    </w:p>
    <w:p w14:paraId="327EACA6" w14:textId="77777777" w:rsidR="00AD571F" w:rsidRDefault="00AD571F" w:rsidP="00AD571F">
      <w:r>
        <w:t>Ka Elering ise on oma avalikes arengudokumentides märkinud, et põhivõrguettevõtjal lasub arenduskohustus ning Eesti taastuveesmärkide ja uute tootmisvõimsuste liitmiseks tuleb võrku hakata arendama enne konkreetsete liitumistaotluste saabumist. Elering on selgesõnaliselt märkinud:</w:t>
      </w:r>
    </w:p>
    <w:p w14:paraId="0D6FB6AA" w14:textId="77777777" w:rsidR="00AD571F" w:rsidRDefault="00AD571F" w:rsidP="00AD571F">
      <w:r>
        <w:t xml:space="preserve">"...tuleb elektrivõrguga liitumise loogikat muuta ja võrku tuleb hakata ette ehitama juba aastaid enne seda, kui mõni konkreetne liituja oma liitumistaotlusega Eleringini jõuab." </w:t>
      </w:r>
    </w:p>
    <w:p w14:paraId="7E3340C6" w14:textId="77777777" w:rsidR="00AD571F" w:rsidRDefault="00AD571F" w:rsidP="00AD571F">
      <w:r>
        <w:t>Samas on kehtiv liitumistasu regulatsioon kujunenud selliseks, et kogu võrgu arendamise finantsrisk kantakse üksikule investorile. Praktikas tähendab see, et investor peab enne võrgu rajamist tasuma kogu liitumistasu, kuigi võrgu arendamine kuulub seadusest tulenevalt põhivõrguettevõtja ülesannete hulka.</w:t>
      </w:r>
    </w:p>
    <w:p w14:paraId="793EE133" w14:textId="77777777" w:rsidR="00AD571F" w:rsidRDefault="00AD571F" w:rsidP="00AD571F">
      <w:r>
        <w:t>Leiame, et selline regulatsioon ei taga mõistlikku tasakaalu põhivõrguettevõtja arenduskohustuse ja liitujate finantskohustuste vahel ning võib olla vastuolus seadusandja eesmärgiga soodustada elektrisüsteemi arengut ning uute tootmisvõimsuste lisandumist.</w:t>
      </w:r>
    </w:p>
    <w:p w14:paraId="39354744" w14:textId="77777777" w:rsidR="00AD571F" w:rsidRDefault="00AD571F" w:rsidP="00AD571F">
      <w:r>
        <w:t xml:space="preserve">Lisaks tuleb arvestada </w:t>
      </w:r>
      <w:r w:rsidRPr="00057BDF">
        <w:rPr>
          <w:b/>
          <w:bCs/>
        </w:rPr>
        <w:t>Eesti Vabariigi põhiseaduse § 11</w:t>
      </w:r>
      <w:r>
        <w:t xml:space="preserve"> sätestatud proportsionaalsuse põhimõtet, mille kohaselt peavad põhiõigusi piiravad abinõud olema eesmärgi saavutamiseks sobivad, vajalikud ja mõõdukad. Kuigi 100% ettemaksu nõude eesmärk – vältida põhjendamatuid liitumisbroneeringuid – on legitiimne, ei ole ilmne, et sama eesmärki ei oleks võimalik saavutada vähem koormavate meetmetega, näiteks osamaksete süsteemi ning piisavate leppetrahvide või tagatiste abil. Seetõttu on põhjendatud hinnata, kas kehtiv regulatsioon vastab proportsionaalsuse põhimõttele.</w:t>
      </w:r>
    </w:p>
    <w:p w14:paraId="3E3BA274" w14:textId="1B71E629" w:rsidR="00AD039A" w:rsidRPr="00FE6FA4" w:rsidRDefault="00AD039A" w:rsidP="00AD039A">
      <w:pPr>
        <w:rPr>
          <w:b/>
          <w:bCs/>
        </w:rPr>
      </w:pPr>
      <w:r w:rsidRPr="00FE6FA4">
        <w:t>Oleme mõistnud, et riigi eesmärk on saada maksimaalselt uut juhitavat võimsust Eesti elektrisüsteemi siis peaks kõik meetmed komplekselt toetama, et selliste investeeringute tegemine Eestisse oleks maksimaalselt efektiivne. Täna kahjuks ei ole ja lõpuks maksab selle suurema riski ja kapitali vajaduse kinni elektritarbija läbi kallima elektrihinna. Seda täiendavat kulu oleks võimalik vältida kui rakendada alljärgnev muudatus</w:t>
      </w:r>
      <w:r w:rsidRPr="00FE6FA4">
        <w:rPr>
          <w:b/>
          <w:bCs/>
        </w:rPr>
        <w:t>.  </w:t>
      </w:r>
    </w:p>
    <w:p w14:paraId="66AB3A40" w14:textId="77777777" w:rsidR="00AD571F" w:rsidRPr="00AD571F" w:rsidRDefault="00AD571F" w:rsidP="00AD571F">
      <w:r w:rsidRPr="00AD571F">
        <w:t>Eeltoodust tulenevalt teeme ettepaneku algatada </w:t>
      </w:r>
      <w:r w:rsidRPr="00AD571F">
        <w:rPr>
          <w:b/>
          <w:bCs/>
        </w:rPr>
        <w:t>"Elektrisüsteemi toimimise võrgueeskirja"</w:t>
      </w:r>
      <w:r w:rsidRPr="00AD571F">
        <w:t> muutmine selliselt, et:</w:t>
      </w:r>
    </w:p>
    <w:p w14:paraId="51E68C4E" w14:textId="77777777" w:rsidR="00AD571F" w:rsidRPr="00AD571F" w:rsidRDefault="00AD571F" w:rsidP="00AD571F">
      <w:pPr>
        <w:numPr>
          <w:ilvl w:val="0"/>
          <w:numId w:val="3"/>
        </w:numPr>
      </w:pPr>
      <w:r w:rsidRPr="00AD571F">
        <w:t>võimaldada võimsusepõhise liitumise korral liitumistasu tasumine osamaksetena;</w:t>
      </w:r>
    </w:p>
    <w:p w14:paraId="14A16B20" w14:textId="77777777" w:rsidR="00AD571F" w:rsidRPr="00AD571F" w:rsidRDefault="00AD571F" w:rsidP="00AD571F">
      <w:pPr>
        <w:numPr>
          <w:ilvl w:val="0"/>
          <w:numId w:val="3"/>
        </w:numPr>
      </w:pPr>
      <w:r w:rsidRPr="00AD571F">
        <w:t>sätestada tõhusad tagatised põhjendamatute liitumisbroneeringute vältimiseks;</w:t>
      </w:r>
    </w:p>
    <w:p w14:paraId="0F97557D" w14:textId="77777777" w:rsidR="00AD571F" w:rsidRPr="00AD571F" w:rsidRDefault="00AD571F" w:rsidP="00AD571F">
      <w:pPr>
        <w:numPr>
          <w:ilvl w:val="0"/>
          <w:numId w:val="3"/>
        </w:numPr>
      </w:pPr>
      <w:r w:rsidRPr="00AD571F">
        <w:lastRenderedPageBreak/>
        <w:t>kaaluda mehhanisme, mis tasakaalustavad põhivõrguettevõtja riske ja investeerimiskeskkonna atraktiivsust;</w:t>
      </w:r>
    </w:p>
    <w:p w14:paraId="6522AD0D" w14:textId="53833113" w:rsidR="00DA43BA" w:rsidRPr="00AD571F" w:rsidRDefault="00AD571F" w:rsidP="007F786E">
      <w:pPr>
        <w:numPr>
          <w:ilvl w:val="0"/>
          <w:numId w:val="3"/>
        </w:numPr>
      </w:pPr>
      <w:r w:rsidRPr="00AD571F">
        <w:t>soodustada põhivõrgu ennetavat arendamist eesmärgiga parandada Eesti konkurentsivõimet uute energiamahukate investeeringute kaasamisel.</w:t>
      </w:r>
    </w:p>
    <w:sectPr w:rsidR="00DA43BA" w:rsidRPr="00AD57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172E8"/>
    <w:multiLevelType w:val="multilevel"/>
    <w:tmpl w:val="F0E08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B65B6F"/>
    <w:multiLevelType w:val="multilevel"/>
    <w:tmpl w:val="0D5A8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32F569E"/>
    <w:multiLevelType w:val="multilevel"/>
    <w:tmpl w:val="5A90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98659006">
    <w:abstractNumId w:val="1"/>
  </w:num>
  <w:num w:numId="2" w16cid:durableId="674725058">
    <w:abstractNumId w:val="0"/>
  </w:num>
  <w:num w:numId="3" w16cid:durableId="1799496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71F"/>
    <w:rsid w:val="00057BDF"/>
    <w:rsid w:val="000C11A5"/>
    <w:rsid w:val="00577981"/>
    <w:rsid w:val="005E1D25"/>
    <w:rsid w:val="00624B95"/>
    <w:rsid w:val="00681A84"/>
    <w:rsid w:val="007F786E"/>
    <w:rsid w:val="00801EC0"/>
    <w:rsid w:val="009507BD"/>
    <w:rsid w:val="00966234"/>
    <w:rsid w:val="00AB6E55"/>
    <w:rsid w:val="00AC2BC4"/>
    <w:rsid w:val="00AD039A"/>
    <w:rsid w:val="00AD571F"/>
    <w:rsid w:val="00D93763"/>
    <w:rsid w:val="00DA43BA"/>
    <w:rsid w:val="00EA1EC9"/>
    <w:rsid w:val="00F3380B"/>
    <w:rsid w:val="00FE6F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5B3FC"/>
  <w15:chartTrackingRefBased/>
  <w15:docId w15:val="{09DC0CF4-0A23-4209-8205-49020AF1E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t-EE"/>
    </w:rPr>
  </w:style>
  <w:style w:type="paragraph" w:styleId="Heading1">
    <w:name w:val="heading 1"/>
    <w:basedOn w:val="Normal"/>
    <w:next w:val="Normal"/>
    <w:link w:val="Heading1Char"/>
    <w:uiPriority w:val="9"/>
    <w:qFormat/>
    <w:rsid w:val="00AD57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7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7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7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57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57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57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57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57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71F"/>
    <w:rPr>
      <w:rFonts w:asciiTheme="majorHAnsi" w:eastAsiaTheme="majorEastAsia" w:hAnsiTheme="majorHAnsi" w:cstheme="majorBidi"/>
      <w:color w:val="0F4761" w:themeColor="accent1" w:themeShade="BF"/>
      <w:sz w:val="40"/>
      <w:szCs w:val="40"/>
      <w:lang w:val="et-EE"/>
    </w:rPr>
  </w:style>
  <w:style w:type="character" w:customStyle="1" w:styleId="Heading2Char">
    <w:name w:val="Heading 2 Char"/>
    <w:basedOn w:val="DefaultParagraphFont"/>
    <w:link w:val="Heading2"/>
    <w:uiPriority w:val="9"/>
    <w:semiHidden/>
    <w:rsid w:val="00AD571F"/>
    <w:rPr>
      <w:rFonts w:asciiTheme="majorHAnsi" w:eastAsiaTheme="majorEastAsia" w:hAnsiTheme="majorHAnsi" w:cstheme="majorBidi"/>
      <w:color w:val="0F4761" w:themeColor="accent1" w:themeShade="BF"/>
      <w:sz w:val="32"/>
      <w:szCs w:val="32"/>
      <w:lang w:val="et-EE"/>
    </w:rPr>
  </w:style>
  <w:style w:type="character" w:customStyle="1" w:styleId="Heading3Char">
    <w:name w:val="Heading 3 Char"/>
    <w:basedOn w:val="DefaultParagraphFont"/>
    <w:link w:val="Heading3"/>
    <w:uiPriority w:val="9"/>
    <w:semiHidden/>
    <w:rsid w:val="00AD571F"/>
    <w:rPr>
      <w:rFonts w:eastAsiaTheme="majorEastAsia" w:cstheme="majorBidi"/>
      <w:color w:val="0F4761" w:themeColor="accent1" w:themeShade="BF"/>
      <w:sz w:val="28"/>
      <w:szCs w:val="28"/>
      <w:lang w:val="et-EE"/>
    </w:rPr>
  </w:style>
  <w:style w:type="character" w:customStyle="1" w:styleId="Heading4Char">
    <w:name w:val="Heading 4 Char"/>
    <w:basedOn w:val="DefaultParagraphFont"/>
    <w:link w:val="Heading4"/>
    <w:uiPriority w:val="9"/>
    <w:semiHidden/>
    <w:rsid w:val="00AD571F"/>
    <w:rPr>
      <w:rFonts w:eastAsiaTheme="majorEastAsia" w:cstheme="majorBidi"/>
      <w:i/>
      <w:iCs/>
      <w:color w:val="0F4761" w:themeColor="accent1" w:themeShade="BF"/>
      <w:lang w:val="et-EE"/>
    </w:rPr>
  </w:style>
  <w:style w:type="character" w:customStyle="1" w:styleId="Heading5Char">
    <w:name w:val="Heading 5 Char"/>
    <w:basedOn w:val="DefaultParagraphFont"/>
    <w:link w:val="Heading5"/>
    <w:uiPriority w:val="9"/>
    <w:semiHidden/>
    <w:rsid w:val="00AD571F"/>
    <w:rPr>
      <w:rFonts w:eastAsiaTheme="majorEastAsia" w:cstheme="majorBidi"/>
      <w:color w:val="0F4761" w:themeColor="accent1" w:themeShade="BF"/>
      <w:lang w:val="et-EE"/>
    </w:rPr>
  </w:style>
  <w:style w:type="character" w:customStyle="1" w:styleId="Heading6Char">
    <w:name w:val="Heading 6 Char"/>
    <w:basedOn w:val="DefaultParagraphFont"/>
    <w:link w:val="Heading6"/>
    <w:uiPriority w:val="9"/>
    <w:semiHidden/>
    <w:rsid w:val="00AD571F"/>
    <w:rPr>
      <w:rFonts w:eastAsiaTheme="majorEastAsia" w:cstheme="majorBidi"/>
      <w:i/>
      <w:iCs/>
      <w:color w:val="595959" w:themeColor="text1" w:themeTint="A6"/>
      <w:lang w:val="et-EE"/>
    </w:rPr>
  </w:style>
  <w:style w:type="character" w:customStyle="1" w:styleId="Heading7Char">
    <w:name w:val="Heading 7 Char"/>
    <w:basedOn w:val="DefaultParagraphFont"/>
    <w:link w:val="Heading7"/>
    <w:uiPriority w:val="9"/>
    <w:semiHidden/>
    <w:rsid w:val="00AD571F"/>
    <w:rPr>
      <w:rFonts w:eastAsiaTheme="majorEastAsia" w:cstheme="majorBidi"/>
      <w:color w:val="595959" w:themeColor="text1" w:themeTint="A6"/>
      <w:lang w:val="et-EE"/>
    </w:rPr>
  </w:style>
  <w:style w:type="character" w:customStyle="1" w:styleId="Heading8Char">
    <w:name w:val="Heading 8 Char"/>
    <w:basedOn w:val="DefaultParagraphFont"/>
    <w:link w:val="Heading8"/>
    <w:uiPriority w:val="9"/>
    <w:semiHidden/>
    <w:rsid w:val="00AD571F"/>
    <w:rPr>
      <w:rFonts w:eastAsiaTheme="majorEastAsia" w:cstheme="majorBidi"/>
      <w:i/>
      <w:iCs/>
      <w:color w:val="272727" w:themeColor="text1" w:themeTint="D8"/>
      <w:lang w:val="et-EE"/>
    </w:rPr>
  </w:style>
  <w:style w:type="character" w:customStyle="1" w:styleId="Heading9Char">
    <w:name w:val="Heading 9 Char"/>
    <w:basedOn w:val="DefaultParagraphFont"/>
    <w:link w:val="Heading9"/>
    <w:uiPriority w:val="9"/>
    <w:semiHidden/>
    <w:rsid w:val="00AD571F"/>
    <w:rPr>
      <w:rFonts w:eastAsiaTheme="majorEastAsia" w:cstheme="majorBidi"/>
      <w:color w:val="272727" w:themeColor="text1" w:themeTint="D8"/>
      <w:lang w:val="et-EE"/>
    </w:rPr>
  </w:style>
  <w:style w:type="paragraph" w:styleId="Title">
    <w:name w:val="Title"/>
    <w:basedOn w:val="Normal"/>
    <w:next w:val="Normal"/>
    <w:link w:val="TitleChar"/>
    <w:uiPriority w:val="10"/>
    <w:qFormat/>
    <w:rsid w:val="00AD57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71F"/>
    <w:rPr>
      <w:rFonts w:asciiTheme="majorHAnsi" w:eastAsiaTheme="majorEastAsia" w:hAnsiTheme="majorHAnsi" w:cstheme="majorBidi"/>
      <w:spacing w:val="-10"/>
      <w:kern w:val="28"/>
      <w:sz w:val="56"/>
      <w:szCs w:val="56"/>
      <w:lang w:val="et-EE"/>
    </w:rPr>
  </w:style>
  <w:style w:type="paragraph" w:styleId="Subtitle">
    <w:name w:val="Subtitle"/>
    <w:basedOn w:val="Normal"/>
    <w:next w:val="Normal"/>
    <w:link w:val="SubtitleChar"/>
    <w:uiPriority w:val="11"/>
    <w:qFormat/>
    <w:rsid w:val="00AD57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571F"/>
    <w:rPr>
      <w:rFonts w:eastAsiaTheme="majorEastAsia" w:cstheme="majorBidi"/>
      <w:color w:val="595959" w:themeColor="text1" w:themeTint="A6"/>
      <w:spacing w:val="15"/>
      <w:sz w:val="28"/>
      <w:szCs w:val="28"/>
      <w:lang w:val="et-EE"/>
    </w:rPr>
  </w:style>
  <w:style w:type="paragraph" w:styleId="Quote">
    <w:name w:val="Quote"/>
    <w:basedOn w:val="Normal"/>
    <w:next w:val="Normal"/>
    <w:link w:val="QuoteChar"/>
    <w:uiPriority w:val="29"/>
    <w:qFormat/>
    <w:rsid w:val="00AD571F"/>
    <w:pPr>
      <w:spacing w:before="160"/>
      <w:jc w:val="center"/>
    </w:pPr>
    <w:rPr>
      <w:i/>
      <w:iCs/>
      <w:color w:val="404040" w:themeColor="text1" w:themeTint="BF"/>
    </w:rPr>
  </w:style>
  <w:style w:type="character" w:customStyle="1" w:styleId="QuoteChar">
    <w:name w:val="Quote Char"/>
    <w:basedOn w:val="DefaultParagraphFont"/>
    <w:link w:val="Quote"/>
    <w:uiPriority w:val="29"/>
    <w:rsid w:val="00AD571F"/>
    <w:rPr>
      <w:i/>
      <w:iCs/>
      <w:color w:val="404040" w:themeColor="text1" w:themeTint="BF"/>
      <w:lang w:val="et-EE"/>
    </w:rPr>
  </w:style>
  <w:style w:type="paragraph" w:styleId="ListParagraph">
    <w:name w:val="List Paragraph"/>
    <w:basedOn w:val="Normal"/>
    <w:uiPriority w:val="34"/>
    <w:qFormat/>
    <w:rsid w:val="00AD571F"/>
    <w:pPr>
      <w:ind w:left="720"/>
      <w:contextualSpacing/>
    </w:pPr>
  </w:style>
  <w:style w:type="character" w:styleId="IntenseEmphasis">
    <w:name w:val="Intense Emphasis"/>
    <w:basedOn w:val="DefaultParagraphFont"/>
    <w:uiPriority w:val="21"/>
    <w:qFormat/>
    <w:rsid w:val="00AD571F"/>
    <w:rPr>
      <w:i/>
      <w:iCs/>
      <w:color w:val="0F4761" w:themeColor="accent1" w:themeShade="BF"/>
    </w:rPr>
  </w:style>
  <w:style w:type="paragraph" w:styleId="IntenseQuote">
    <w:name w:val="Intense Quote"/>
    <w:basedOn w:val="Normal"/>
    <w:next w:val="Normal"/>
    <w:link w:val="IntenseQuoteChar"/>
    <w:uiPriority w:val="30"/>
    <w:qFormat/>
    <w:rsid w:val="00AD57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571F"/>
    <w:rPr>
      <w:i/>
      <w:iCs/>
      <w:color w:val="0F4761" w:themeColor="accent1" w:themeShade="BF"/>
      <w:lang w:val="et-EE"/>
    </w:rPr>
  </w:style>
  <w:style w:type="character" w:styleId="IntenseReference">
    <w:name w:val="Intense Reference"/>
    <w:basedOn w:val="DefaultParagraphFont"/>
    <w:uiPriority w:val="32"/>
    <w:qFormat/>
    <w:rsid w:val="00AD57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4F7C42AFDE88A40B5DE8F8C6561BF28" ma:contentTypeVersion="18" ma:contentTypeDescription="Loo uus dokument" ma:contentTypeScope="" ma:versionID="96e8bf80911a03563b51b1ee700fae2d">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514877c5419d4558497bdba6bdc6f535"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Pildisildid"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6"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Ühiskasutusse andmise üksikasjad" ma:internalName="SharedWithDetails" ma:readOnly="true">
      <xsd:simpleType>
        <xsd:restriction base="dms:Note">
          <xsd:maxLength value="255"/>
        </xsd:restriction>
      </xsd:simpleType>
    </xsd:element>
    <xsd:element name="TaxCatchAll" ma:index="22" nillable="true" ma:displayName="Taxonomy Catch All Column" ma:hidden="true" ma:list="{0fdb60cd-b06e-4905-bb6c-c9c9a22fc250}"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6E9A55-C970-46D9-BB05-4939C0D30469}"/>
</file>

<file path=customXml/itemProps2.xml><?xml version="1.0" encoding="utf-8"?>
<ds:datastoreItem xmlns:ds="http://schemas.openxmlformats.org/officeDocument/2006/customXml" ds:itemID="{551FC5BB-E918-4B63-A371-4F8BDC7A30FF}"/>
</file>

<file path=customXml/itemProps3.xml><?xml version="1.0" encoding="utf-8"?>
<ds:datastoreItem xmlns:ds="http://schemas.openxmlformats.org/officeDocument/2006/customXml" ds:itemID="{AC36A765-6C2E-4F63-9343-32D974188A8B}"/>
</file>

<file path=docProps/app.xml><?xml version="1.0" encoding="utf-8"?>
<Properties xmlns="http://schemas.openxmlformats.org/officeDocument/2006/extended-properties" xmlns:vt="http://schemas.openxmlformats.org/officeDocument/2006/docPropsVTypes">
  <Template>Normal</Template>
  <TotalTime>12</TotalTime>
  <Pages>5</Pages>
  <Words>1348</Words>
  <Characters>7823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Laidvee</dc:creator>
  <cp:keywords/>
  <dc:description/>
  <cp:lastModifiedBy>Lauri Oks</cp:lastModifiedBy>
  <cp:revision>3</cp:revision>
  <dcterms:created xsi:type="dcterms:W3CDTF">2026-07-22T09:46:00Z</dcterms:created>
  <dcterms:modified xsi:type="dcterms:W3CDTF">2026-07-22T09:47:00Z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