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115A5" w:rsidR="00025149" w:rsidRDefault="00E952AD" w14:paraId="74E898CE" w14:textId="77777777" w14:noSpellErr="1">
      <w:pPr>
        <w:pStyle w:val="BodyText"/>
      </w:pPr>
      <w:r w:rsidRPr="00C115A5" w:rsidR="00E952AD">
        <w:rPr>
          <w:lang w:bidi="en-US"/>
        </w:rPr>
        <w:t xml:space="preserve">FCR Capacity Market </w:t>
      </w:r>
      <w:r w:rsidRPr="00C115A5" w:rsidR="00E952AD">
        <w:rPr>
          <w:spacing w:val="-2"/>
          <w:lang w:bidi="en-US"/>
        </w:rPr>
        <w:t>Standard Product</w:t>
      </w:r>
    </w:p>
    <w:p w:rsidR="6FB3184A" w:rsidP="0A7AC7C8" w:rsidRDefault="6FB3184A" w14:paraId="4D7ED52D" w14:textId="7ABFACDA">
      <w:pPr>
        <w:pStyle w:val="BodyText"/>
        <w:spacing w:before="18" w:after="32"/>
        <w:ind w:left="276"/>
        <w:rPr>
          <w:noProof w:val="0"/>
          <w:lang w:val="en-GB"/>
        </w:rPr>
      </w:pPr>
      <w:r w:rsidRPr="0A7AC7C8" w:rsidR="6FB3184A">
        <w:rPr>
          <w:rFonts w:ascii="Calibri Light" w:hAnsi="Calibri Light" w:eastAsia="Calibri Light" w:cs="Calibri Light"/>
          <w:b w:val="0"/>
          <w:bCs w:val="0"/>
          <w:i w:val="1"/>
          <w:iCs w:val="1"/>
          <w:caps w:val="0"/>
          <w:smallCaps w:val="0"/>
          <w:noProof w:val="0"/>
          <w:color w:val="2E5395"/>
          <w:sz w:val="32"/>
          <w:szCs w:val="32"/>
          <w:lang w:val="en-GB"/>
        </w:rPr>
        <w:t>Unofficial translation</w:t>
      </w:r>
    </w:p>
    <w:tbl>
      <w:tblPr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4667"/>
      </w:tblGrid>
      <w:tr w:rsidRPr="00C115A5" w:rsidR="00025149" w14:paraId="7E819678" w14:textId="77777777">
        <w:trPr>
          <w:trHeight w:val="450"/>
        </w:trPr>
        <w:tc>
          <w:tcPr>
            <w:tcW w:w="4429" w:type="dxa"/>
          </w:tcPr>
          <w:p w:rsidRPr="00C115A5" w:rsidR="00025149" w:rsidRDefault="00E952AD" w14:paraId="1A3B1671" w14:textId="77777777">
            <w:pPr>
              <w:pStyle w:val="TableParagraph"/>
              <w:rPr>
                <w:b/>
              </w:rPr>
            </w:pPr>
            <w:r w:rsidRPr="00C115A5">
              <w:rPr>
                <w:b/>
                <w:spacing w:val="-2"/>
                <w:lang w:bidi="en-US"/>
              </w:rPr>
              <w:t>Parameter</w:t>
            </w:r>
          </w:p>
        </w:tc>
        <w:tc>
          <w:tcPr>
            <w:tcW w:w="4667" w:type="dxa"/>
          </w:tcPr>
          <w:p w:rsidRPr="00C115A5" w:rsidR="00025149" w:rsidRDefault="00E952AD" w14:paraId="67D8AD69" w14:textId="77777777">
            <w:pPr>
              <w:pStyle w:val="TableParagraph"/>
              <w:rPr>
                <w:b/>
              </w:rPr>
            </w:pPr>
            <w:r w:rsidRPr="00C115A5">
              <w:rPr>
                <w:b/>
                <w:spacing w:val="-2"/>
                <w:lang w:bidi="en-US"/>
              </w:rPr>
              <w:t>Condition</w:t>
            </w:r>
          </w:p>
        </w:tc>
      </w:tr>
      <w:tr w:rsidRPr="00C115A5" w:rsidR="00025149" w14:paraId="0C8913C9" w14:textId="77777777">
        <w:trPr>
          <w:trHeight w:val="1029"/>
        </w:trPr>
        <w:tc>
          <w:tcPr>
            <w:tcW w:w="4429" w:type="dxa"/>
          </w:tcPr>
          <w:p w:rsidRPr="00C115A5" w:rsidR="00025149" w:rsidRDefault="00E952AD" w14:paraId="4C766710" w14:textId="77777777">
            <w:pPr>
              <w:pStyle w:val="TableParagraph"/>
            </w:pPr>
            <w:r w:rsidRPr="00C115A5">
              <w:rPr>
                <w:spacing w:val="-2"/>
                <w:lang w:bidi="en-US"/>
              </w:rPr>
              <w:t>Mode of activation</w:t>
            </w:r>
          </w:p>
          <w:p w:rsidRPr="00C115A5" w:rsidR="00025149" w:rsidRDefault="00025149" w14:paraId="755CB92F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01394141" w14:textId="77777777">
            <w:pPr>
              <w:pStyle w:val="TableParagraph"/>
              <w:spacing w:line="259" w:lineRule="auto"/>
              <w:ind w:left="102" w:right="472"/>
              <w:jc w:val="both"/>
            </w:pPr>
            <w:r w:rsidRPr="00C115A5">
              <w:rPr>
                <w:lang w:bidi="en-US"/>
              </w:rPr>
              <w:t>Automatic – the reserve unit autonomously determines the quantity to be activated based on the measured frequency deviation and the accepted capacity offer.</w:t>
            </w:r>
          </w:p>
        </w:tc>
      </w:tr>
      <w:tr w:rsidRPr="00C115A5" w:rsidR="00025149" w14:paraId="0E3C95BE" w14:textId="77777777">
        <w:trPr>
          <w:trHeight w:val="899"/>
        </w:trPr>
        <w:tc>
          <w:tcPr>
            <w:tcW w:w="4429" w:type="dxa"/>
          </w:tcPr>
          <w:p w:rsidRPr="00C115A5" w:rsidR="00025149" w:rsidRDefault="00E952AD" w14:paraId="01C8D034" w14:textId="77777777">
            <w:pPr>
              <w:pStyle w:val="TableParagraph"/>
            </w:pPr>
            <w:r w:rsidRPr="00C115A5">
              <w:rPr>
                <w:spacing w:val="-2"/>
                <w:lang w:bidi="en-US"/>
              </w:rPr>
              <w:t xml:space="preserve">Full activation </w:t>
            </w:r>
            <w:r w:rsidRPr="00C115A5">
              <w:rPr>
                <w:spacing w:val="-5"/>
                <w:lang w:bidi="en-US"/>
              </w:rPr>
              <w:t>time</w:t>
            </w:r>
            <w:r w:rsidRPr="00C115A5">
              <w:rPr>
                <w:spacing w:val="-2"/>
                <w:lang w:bidi="en-US"/>
              </w:rPr>
              <w:t xml:space="preserve"> (FAT)</w:t>
            </w:r>
          </w:p>
          <w:p w:rsidRPr="00C115A5" w:rsidR="00025149" w:rsidRDefault="00025149" w14:paraId="0FE81321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5532859C" w14:textId="77777777">
            <w:pPr>
              <w:pStyle w:val="TableParagraph"/>
              <w:ind w:left="102"/>
            </w:pPr>
            <w:r w:rsidRPr="00C115A5">
              <w:rPr>
                <w:lang w:bidi="en-US"/>
              </w:rPr>
              <w:t xml:space="preserve">30 </w:t>
            </w:r>
            <w:r w:rsidRPr="00C115A5">
              <w:rPr>
                <w:spacing w:val="-2"/>
                <w:lang w:bidi="en-US"/>
              </w:rPr>
              <w:t>seconds</w:t>
            </w:r>
          </w:p>
        </w:tc>
      </w:tr>
      <w:tr w:rsidRPr="00C115A5" w:rsidR="00025149" w14:paraId="5CE0976A" w14:textId="77777777">
        <w:trPr>
          <w:trHeight w:val="899"/>
        </w:trPr>
        <w:tc>
          <w:tcPr>
            <w:tcW w:w="4429" w:type="dxa"/>
          </w:tcPr>
          <w:p w:rsidRPr="00C115A5" w:rsidR="00025149" w:rsidRDefault="00E952AD" w14:paraId="45495092" w14:textId="77777777">
            <w:pPr>
              <w:pStyle w:val="TableParagraph"/>
            </w:pPr>
            <w:r w:rsidRPr="00C115A5">
              <w:rPr>
                <w:i/>
                <w:spacing w:val="-2"/>
                <w:lang w:bidi="en-US"/>
              </w:rPr>
              <w:t>Direction</w:t>
            </w:r>
          </w:p>
          <w:p w:rsidRPr="00C115A5" w:rsidR="00025149" w:rsidRDefault="00025149" w14:paraId="28A4D3DF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5660DBE4" w14:textId="77777777">
            <w:pPr>
              <w:pStyle w:val="TableParagraph"/>
            </w:pPr>
            <w:r w:rsidRPr="00C115A5">
              <w:rPr>
                <w:lang w:bidi="en-US"/>
              </w:rPr>
              <w:t>Symmetric – both upward and downward</w:t>
            </w:r>
          </w:p>
        </w:tc>
      </w:tr>
      <w:tr w:rsidRPr="00C115A5" w:rsidR="00025149" w14:paraId="6D60BAC0" w14:textId="77777777">
        <w:trPr>
          <w:trHeight w:val="900"/>
        </w:trPr>
        <w:tc>
          <w:tcPr>
            <w:tcW w:w="4429" w:type="dxa"/>
          </w:tcPr>
          <w:p w:rsidRPr="00C115A5" w:rsidR="00025149" w:rsidRDefault="00E952AD" w14:paraId="2F1D9254" w14:textId="77777777">
            <w:pPr>
              <w:pStyle w:val="TableParagraph"/>
            </w:pPr>
            <w:r w:rsidRPr="00C115A5">
              <w:rPr>
                <w:spacing w:val="-2"/>
                <w:lang w:bidi="en-US"/>
              </w:rPr>
              <w:t>Validity period</w:t>
            </w:r>
          </w:p>
          <w:p w:rsidRPr="00C115A5" w:rsidR="00025149" w:rsidRDefault="00025149" w14:paraId="1C836BAC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78C66013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15 </w:t>
            </w:r>
            <w:r w:rsidRPr="00C115A5">
              <w:rPr>
                <w:spacing w:val="-2"/>
                <w:lang w:bidi="en-US"/>
              </w:rPr>
              <w:t>minutes</w:t>
            </w:r>
          </w:p>
        </w:tc>
      </w:tr>
      <w:tr w:rsidRPr="00C115A5" w:rsidR="00025149" w14:paraId="130A86F5" w14:textId="77777777">
        <w:trPr>
          <w:trHeight w:val="899"/>
        </w:trPr>
        <w:tc>
          <w:tcPr>
            <w:tcW w:w="4429" w:type="dxa"/>
          </w:tcPr>
          <w:p w:rsidRPr="00C115A5" w:rsidR="00025149" w:rsidRDefault="00E952AD" w14:paraId="32E94FB6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Minimum </w:t>
            </w:r>
            <w:r w:rsidRPr="00C115A5">
              <w:rPr>
                <w:spacing w:val="-2"/>
                <w:lang w:bidi="en-US"/>
              </w:rPr>
              <w:t>quantity</w:t>
            </w:r>
          </w:p>
          <w:p w:rsidRPr="00C115A5" w:rsidR="00025149" w:rsidRDefault="00025149" w14:paraId="3BA3CB9D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15C71F5A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1 </w:t>
            </w:r>
            <w:r w:rsidRPr="00C115A5">
              <w:rPr>
                <w:spacing w:val="-5"/>
                <w:lang w:bidi="en-US"/>
              </w:rPr>
              <w:t>MW</w:t>
            </w:r>
          </w:p>
        </w:tc>
      </w:tr>
      <w:tr w:rsidRPr="00C115A5" w:rsidR="00025149" w14:paraId="51912309" w14:textId="77777777">
        <w:trPr>
          <w:trHeight w:val="899"/>
        </w:trPr>
        <w:tc>
          <w:tcPr>
            <w:tcW w:w="4429" w:type="dxa"/>
          </w:tcPr>
          <w:p w:rsidRPr="00C115A5" w:rsidR="00025149" w:rsidRDefault="00E952AD" w14:paraId="15E80E84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Minimum duration of </w:t>
            </w:r>
            <w:r w:rsidRPr="00C115A5">
              <w:rPr>
                <w:spacing w:val="-2"/>
                <w:lang w:bidi="en-US"/>
              </w:rPr>
              <w:t>delivery period</w:t>
            </w:r>
          </w:p>
          <w:p w:rsidRPr="00C115A5" w:rsidR="00025149" w:rsidRDefault="00025149" w14:paraId="0281A98F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435290FD" w14:textId="77777777">
            <w:pPr>
              <w:pStyle w:val="TableParagraph"/>
              <w:ind w:left="102"/>
            </w:pPr>
            <w:r w:rsidRPr="00C115A5">
              <w:rPr>
                <w:spacing w:val="-2"/>
                <w:lang w:bidi="en-US"/>
              </w:rPr>
              <w:t>None</w:t>
            </w:r>
          </w:p>
        </w:tc>
      </w:tr>
      <w:tr w:rsidRPr="00C115A5" w:rsidR="00025149" w14:paraId="2B677BF9" w14:textId="77777777">
        <w:trPr>
          <w:trHeight w:val="899"/>
        </w:trPr>
        <w:tc>
          <w:tcPr>
            <w:tcW w:w="4429" w:type="dxa"/>
          </w:tcPr>
          <w:p w:rsidRPr="00C115A5" w:rsidR="00025149" w:rsidRDefault="00E952AD" w14:paraId="47F9FB0B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Bid </w:t>
            </w:r>
            <w:r w:rsidRPr="00C115A5">
              <w:rPr>
                <w:spacing w:val="-2"/>
                <w:lang w:bidi="en-US"/>
              </w:rPr>
              <w:t>granularity</w:t>
            </w:r>
          </w:p>
          <w:p w:rsidRPr="00C115A5" w:rsidR="00025149" w:rsidRDefault="00025149" w14:paraId="5C20A89D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6BF18425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1 </w:t>
            </w:r>
            <w:r w:rsidRPr="00C115A5">
              <w:rPr>
                <w:spacing w:val="-5"/>
                <w:lang w:bidi="en-US"/>
              </w:rPr>
              <w:t>MW</w:t>
            </w:r>
          </w:p>
        </w:tc>
      </w:tr>
      <w:tr w:rsidRPr="00C115A5" w:rsidR="00025149" w14:paraId="351E4EBB" w14:textId="77777777">
        <w:trPr>
          <w:trHeight w:val="900"/>
        </w:trPr>
        <w:tc>
          <w:tcPr>
            <w:tcW w:w="4429" w:type="dxa"/>
          </w:tcPr>
          <w:p w:rsidRPr="00C115A5" w:rsidR="00025149" w:rsidRDefault="00E952AD" w14:paraId="3C0BD51A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Maximum </w:t>
            </w:r>
            <w:r w:rsidRPr="00C115A5">
              <w:rPr>
                <w:spacing w:val="-4"/>
                <w:lang w:bidi="en-US"/>
              </w:rPr>
              <w:t>quantity</w:t>
            </w:r>
          </w:p>
          <w:p w:rsidRPr="00C115A5" w:rsidR="00025149" w:rsidRDefault="00025149" w14:paraId="2CFB1186" w14:textId="77777777">
            <w:pPr>
              <w:pStyle w:val="TableParagraph"/>
              <w:spacing w:before="180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36DC1BAB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9,999 </w:t>
            </w:r>
            <w:r w:rsidRPr="00C115A5">
              <w:rPr>
                <w:spacing w:val="-5"/>
                <w:lang w:bidi="en-US"/>
              </w:rPr>
              <w:t>MW</w:t>
            </w:r>
          </w:p>
        </w:tc>
      </w:tr>
      <w:tr w:rsidRPr="00C115A5" w:rsidR="00025149" w14:paraId="5589A0F2" w14:textId="77777777">
        <w:trPr>
          <w:trHeight w:val="1029"/>
        </w:trPr>
        <w:tc>
          <w:tcPr>
            <w:tcW w:w="4429" w:type="dxa"/>
          </w:tcPr>
          <w:p w:rsidRPr="00C115A5" w:rsidR="00025149" w:rsidRDefault="00E952AD" w14:paraId="66BF2D14" w14:textId="77777777">
            <w:pPr>
              <w:pStyle w:val="TableParagraph"/>
              <w:spacing w:line="400" w:lineRule="auto"/>
              <w:ind w:right="1820"/>
            </w:pPr>
            <w:r w:rsidRPr="00C115A5">
              <w:rPr>
                <w:spacing w:val="-2"/>
                <w:lang w:bidi="en-US"/>
              </w:rPr>
              <w:t>Divisibility</w:t>
            </w:r>
          </w:p>
        </w:tc>
        <w:tc>
          <w:tcPr>
            <w:tcW w:w="4667" w:type="dxa"/>
          </w:tcPr>
          <w:p w:rsidRPr="00C115A5" w:rsidR="00025149" w:rsidRDefault="00E952AD" w14:paraId="4F314D9A" w14:textId="77777777">
            <w:pPr>
              <w:pStyle w:val="TableParagraph"/>
              <w:spacing w:line="259" w:lineRule="auto"/>
            </w:pPr>
            <w:r w:rsidRPr="00C115A5">
              <w:rPr>
                <w:lang w:bidi="en-US"/>
              </w:rPr>
              <w:t>Fully divisible in steps of 1 MW, fully indivisible, or partially indivisible in steps of 1 MW.</w:t>
            </w:r>
          </w:p>
          <w:p w:rsidRPr="00C115A5" w:rsidR="00025149" w:rsidRDefault="00025149" w14:paraId="317AF805" w14:textId="77777777">
            <w:pPr>
              <w:pStyle w:val="TableParagraph"/>
              <w:spacing w:line="240" w:lineRule="auto"/>
            </w:pPr>
          </w:p>
        </w:tc>
      </w:tr>
      <w:tr w:rsidRPr="00C115A5" w:rsidR="00025149" w14:paraId="5F1D55A4" w14:textId="77777777">
        <w:trPr>
          <w:trHeight w:val="899"/>
        </w:trPr>
        <w:tc>
          <w:tcPr>
            <w:tcW w:w="4429" w:type="dxa"/>
          </w:tcPr>
          <w:p w:rsidRPr="00C115A5" w:rsidR="00025149" w:rsidRDefault="00E952AD" w14:paraId="1BF0488C" w14:textId="77777777">
            <w:pPr>
              <w:pStyle w:val="TableParagraph"/>
            </w:pPr>
            <w:r w:rsidRPr="00C115A5">
              <w:rPr>
                <w:i/>
                <w:spacing w:val="-2"/>
                <w:lang w:bidi="en-US"/>
              </w:rPr>
              <w:t>Volume</w:t>
            </w:r>
          </w:p>
          <w:p w:rsidRPr="00C115A5" w:rsidR="00025149" w:rsidRDefault="00025149" w14:paraId="6C1BD429" w14:textId="77777777">
            <w:pPr>
              <w:pStyle w:val="TableParagraph"/>
              <w:spacing w:before="182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02A716AB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Unit: </w:t>
            </w:r>
            <w:r w:rsidRPr="00C115A5">
              <w:rPr>
                <w:spacing w:val="-5"/>
                <w:lang w:bidi="en-US"/>
              </w:rPr>
              <w:t>MW</w:t>
            </w:r>
          </w:p>
        </w:tc>
      </w:tr>
      <w:tr w:rsidRPr="00C115A5" w:rsidR="00025149" w14:paraId="0F16E5F8" w14:textId="77777777">
        <w:trPr>
          <w:trHeight w:val="899"/>
        </w:trPr>
        <w:tc>
          <w:tcPr>
            <w:tcW w:w="4429" w:type="dxa"/>
          </w:tcPr>
          <w:p w:rsidRPr="00C115A5" w:rsidR="00025149" w:rsidRDefault="00E952AD" w14:paraId="036B6547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Price of the </w:t>
            </w:r>
            <w:r w:rsidRPr="00C115A5">
              <w:rPr>
                <w:i/>
                <w:spacing w:val="-4"/>
                <w:lang w:bidi="en-US"/>
              </w:rPr>
              <w:t>bid</w:t>
            </w:r>
          </w:p>
          <w:p w:rsidRPr="00C115A5" w:rsidR="00025149" w:rsidRDefault="00025149" w14:paraId="4A19001A" w14:textId="77777777">
            <w:pPr>
              <w:pStyle w:val="TableParagraph"/>
              <w:spacing w:before="182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3C25BED6" w14:textId="77777777">
            <w:pPr>
              <w:pStyle w:val="TableParagraph"/>
            </w:pPr>
            <w:r w:rsidRPr="00C115A5">
              <w:rPr>
                <w:lang w:bidi="en-US"/>
              </w:rPr>
              <w:t xml:space="preserve">Unit: </w:t>
            </w:r>
            <w:r w:rsidRPr="00C115A5">
              <w:rPr>
                <w:spacing w:val="-2"/>
                <w:lang w:bidi="en-US"/>
              </w:rPr>
              <w:t>€/MWh</w:t>
            </w:r>
          </w:p>
        </w:tc>
      </w:tr>
      <w:tr w:rsidRPr="00C115A5" w:rsidR="00025149" w14:paraId="3DEB703C" w14:textId="77777777">
        <w:trPr>
          <w:trHeight w:val="2349"/>
        </w:trPr>
        <w:tc>
          <w:tcPr>
            <w:tcW w:w="4429" w:type="dxa"/>
          </w:tcPr>
          <w:p w:rsidRPr="00C115A5" w:rsidR="00025149" w:rsidRDefault="00E952AD" w14:paraId="7C8126D8" w14:textId="77777777">
            <w:pPr>
              <w:pStyle w:val="TableParagraph"/>
            </w:pPr>
            <w:r w:rsidRPr="00C115A5">
              <w:rPr>
                <w:i/>
                <w:spacing w:val="-2"/>
                <w:lang w:bidi="en-US"/>
              </w:rPr>
              <w:t>Availability</w:t>
            </w:r>
          </w:p>
          <w:p w:rsidRPr="00C115A5" w:rsidR="00025149" w:rsidRDefault="00025149" w14:paraId="01BC1ED0" w14:textId="77777777">
            <w:pPr>
              <w:pStyle w:val="TableParagraph"/>
              <w:spacing w:before="183" w:line="240" w:lineRule="auto"/>
            </w:pPr>
          </w:p>
        </w:tc>
        <w:tc>
          <w:tcPr>
            <w:tcW w:w="4667" w:type="dxa"/>
          </w:tcPr>
          <w:p w:rsidRPr="00C115A5" w:rsidR="00025149" w:rsidRDefault="00E952AD" w14:paraId="28F6CC3C" w14:textId="77777777">
            <w:pPr>
              <w:pStyle w:val="TableParagraph"/>
              <w:spacing w:line="259" w:lineRule="auto"/>
            </w:pPr>
            <w:r w:rsidRPr="00C115A5">
              <w:rPr>
                <w:lang w:bidi="en-US"/>
              </w:rPr>
              <w:t>The FCR service must be fully available and ready for activation during the validity period of the accepted FCR offer, in at least the volume of the accepted capacity offer.</w:t>
            </w:r>
          </w:p>
          <w:p w:rsidRPr="00C115A5" w:rsidR="00025149" w:rsidRDefault="00E952AD" w14:paraId="1F05D5E5" w14:textId="77777777">
            <w:pPr>
              <w:pStyle w:val="TableParagraph"/>
              <w:spacing w:before="159" w:line="259" w:lineRule="auto"/>
            </w:pPr>
            <w:r w:rsidRPr="00C115A5">
              <w:rPr>
                <w:lang w:bidi="en-US"/>
              </w:rPr>
              <w:t>The obligation to submit the FCR offer may be transferred to another prequalified Balancing Service Provider within the TSO control area, in accordance with Article 34 of the EBGL Regulation.</w:t>
            </w:r>
          </w:p>
        </w:tc>
      </w:tr>
    </w:tbl>
    <w:p w:rsidRPr="00C115A5" w:rsidR="00025149" w:rsidRDefault="00025149" w14:paraId="0C3D7090" w14:textId="77777777">
      <w:pPr>
        <w:spacing w:line="259" w:lineRule="auto"/>
        <w:sectPr w:rsidRPr="00C115A5" w:rsidR="00025149">
          <w:type w:val="continuous"/>
          <w:pgSz w:w="11910" w:h="16840" w:orient="portrait"/>
          <w:pgMar w:top="1620" w:right="1440" w:bottom="280" w:left="114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2"/>
        <w:gridCol w:w="4663"/>
      </w:tblGrid>
      <w:tr w:rsidRPr="00C115A5" w:rsidR="00025149" w14:paraId="75814E33" w14:textId="77777777">
        <w:trPr>
          <w:trHeight w:val="2522"/>
        </w:trPr>
        <w:tc>
          <w:tcPr>
            <w:tcW w:w="4432" w:type="dxa"/>
          </w:tcPr>
          <w:p w:rsidRPr="00C115A5" w:rsidR="00025149" w:rsidRDefault="00E952AD" w14:paraId="2C13F1B8" w14:textId="77777777">
            <w:pPr>
              <w:pStyle w:val="TableParagraph"/>
              <w:spacing w:before="1" w:line="240" w:lineRule="auto"/>
            </w:pPr>
            <w:r w:rsidRPr="00C115A5">
              <w:rPr>
                <w:spacing w:val="-2"/>
                <w:lang w:bidi="en-US"/>
              </w:rPr>
              <w:lastRenderedPageBreak/>
              <w:t>Links between</w:t>
            </w:r>
            <w:r w:rsidRPr="00C115A5">
              <w:rPr>
                <w:i/>
                <w:spacing w:val="-2"/>
                <w:lang w:bidi="en-US"/>
              </w:rPr>
              <w:t xml:space="preserve"> bids</w:t>
            </w:r>
          </w:p>
          <w:p w:rsidRPr="00C115A5" w:rsidR="00025149" w:rsidRDefault="00025149" w14:paraId="142CFC88" w14:textId="77777777">
            <w:pPr>
              <w:pStyle w:val="TableParagraph"/>
              <w:spacing w:before="181" w:line="240" w:lineRule="auto"/>
            </w:pPr>
          </w:p>
        </w:tc>
        <w:tc>
          <w:tcPr>
            <w:tcW w:w="4663" w:type="dxa"/>
          </w:tcPr>
          <w:p w:rsidRPr="00C115A5" w:rsidR="00025149" w:rsidRDefault="00E952AD" w14:paraId="1CE0BB56" w14:textId="77777777">
            <w:pPr>
              <w:pStyle w:val="TableParagraph"/>
              <w:spacing w:before="1" w:line="240" w:lineRule="auto"/>
              <w:ind w:left="107"/>
            </w:pPr>
            <w:r w:rsidRPr="00C115A5">
              <w:rPr>
                <w:lang w:bidi="en-US"/>
              </w:rPr>
              <w:t xml:space="preserve">Linking of bids is permitted </w:t>
            </w:r>
            <w:r w:rsidRPr="00C115A5">
              <w:rPr>
                <w:spacing w:val="-2"/>
                <w:lang w:bidi="en-US"/>
              </w:rPr>
              <w:t>as follows:</w:t>
            </w:r>
          </w:p>
          <w:p w:rsidRPr="00C115A5" w:rsidR="00025149" w:rsidRDefault="00E952AD" w14:paraId="747F821E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181" w:line="240" w:lineRule="auto"/>
            </w:pPr>
            <w:r w:rsidRPr="00C115A5">
              <w:rPr>
                <w:spacing w:val="-2"/>
                <w:lang w:bidi="en-US"/>
              </w:rPr>
              <w:t>Block bids</w:t>
            </w:r>
          </w:p>
          <w:p w:rsidRPr="00C115A5" w:rsidR="00025149" w:rsidRDefault="00E952AD" w14:paraId="5AAFBBB9" w14:textId="77777777">
            <w:pPr>
              <w:pStyle w:val="TableParagraph"/>
              <w:spacing w:before="180" w:line="259" w:lineRule="auto"/>
              <w:ind w:left="107"/>
            </w:pPr>
            <w:r w:rsidRPr="00C115A5">
              <w:rPr>
                <w:lang w:bidi="en-US"/>
              </w:rPr>
              <w:t>Offers with the same volume and price across consecutive trading periods may be linked into one block bid.</w:t>
            </w:r>
          </w:p>
          <w:p w:rsidRPr="00C115A5" w:rsidR="00025149" w:rsidRDefault="00E952AD" w14:paraId="22C187BE" w14:textId="77777777">
            <w:pPr>
              <w:pStyle w:val="TableParagraph"/>
              <w:spacing w:before="1" w:line="259" w:lineRule="auto"/>
              <w:ind w:left="107" w:right="59"/>
            </w:pPr>
            <w:r w:rsidRPr="00C115A5">
              <w:rPr>
                <w:lang w:bidi="en-US"/>
              </w:rPr>
              <w:t xml:space="preserve"> In such cases, either all linked bids are accepted or all are rejected.</w:t>
            </w:r>
          </w:p>
        </w:tc>
      </w:tr>
      <w:tr w:rsidRPr="00C115A5" w:rsidR="00025149" w14:paraId="02CF50D8" w14:textId="77777777">
        <w:trPr>
          <w:trHeight w:val="1477"/>
        </w:trPr>
        <w:tc>
          <w:tcPr>
            <w:tcW w:w="4432" w:type="dxa"/>
          </w:tcPr>
          <w:p w:rsidRPr="00C115A5" w:rsidR="00025149" w:rsidRDefault="00E952AD" w14:paraId="7CA1F3FC" w14:textId="77777777">
            <w:pPr>
              <w:pStyle w:val="TableParagraph"/>
              <w:spacing w:line="259" w:lineRule="auto"/>
            </w:pPr>
            <w:r w:rsidRPr="00C115A5">
              <w:rPr>
                <w:lang w:bidi="en-US"/>
              </w:rPr>
              <w:t>Minimum duration between the end of deactivation and the following activation</w:t>
            </w:r>
          </w:p>
          <w:p w:rsidRPr="00C115A5" w:rsidR="00025149" w:rsidRDefault="00025149" w14:paraId="6C19F551" w14:textId="77777777">
            <w:pPr>
              <w:pStyle w:val="TableParagraph"/>
              <w:spacing w:before="158" w:line="259" w:lineRule="auto"/>
              <w:ind w:right="135"/>
            </w:pPr>
          </w:p>
        </w:tc>
        <w:tc>
          <w:tcPr>
            <w:tcW w:w="4663" w:type="dxa"/>
          </w:tcPr>
          <w:p w:rsidRPr="00C115A5" w:rsidR="00025149" w:rsidRDefault="00E952AD" w14:paraId="3AE51E7C" w14:textId="77777777">
            <w:pPr>
              <w:pStyle w:val="TableParagraph"/>
              <w:ind w:left="100"/>
            </w:pPr>
            <w:r w:rsidRPr="00C115A5">
              <w:rPr>
                <w:spacing w:val="-2"/>
                <w:lang w:bidi="en-US"/>
              </w:rPr>
              <w:t>None</w:t>
            </w:r>
          </w:p>
        </w:tc>
      </w:tr>
      <w:tr w:rsidRPr="00C115A5" w:rsidR="00025149" w14:paraId="4A24FB65" w14:textId="77777777">
        <w:trPr>
          <w:trHeight w:val="900"/>
        </w:trPr>
        <w:tc>
          <w:tcPr>
            <w:tcW w:w="4432" w:type="dxa"/>
          </w:tcPr>
          <w:p w:rsidRPr="00C115A5" w:rsidR="00025149" w:rsidRDefault="00E952AD" w14:paraId="665D211E" w14:textId="77777777">
            <w:pPr>
              <w:pStyle w:val="TableParagraph"/>
            </w:pPr>
            <w:r w:rsidRPr="00C115A5">
              <w:rPr>
                <w:spacing w:val="-2"/>
                <w:lang w:bidi="en-US"/>
              </w:rPr>
              <w:t xml:space="preserve">Price </w:t>
            </w:r>
            <w:r w:rsidRPr="00C115A5">
              <w:rPr>
                <w:i/>
                <w:spacing w:val="-2"/>
                <w:lang w:bidi="en-US"/>
              </w:rPr>
              <w:t>method</w:t>
            </w:r>
          </w:p>
          <w:p w:rsidRPr="00C115A5" w:rsidR="00025149" w:rsidRDefault="00025149" w14:paraId="1DCC7403" w14:textId="77777777">
            <w:pPr>
              <w:pStyle w:val="TableParagraph"/>
              <w:spacing w:before="182" w:line="240" w:lineRule="auto"/>
            </w:pPr>
          </w:p>
        </w:tc>
        <w:tc>
          <w:tcPr>
            <w:tcW w:w="4663" w:type="dxa"/>
          </w:tcPr>
          <w:p w:rsidRPr="00C115A5" w:rsidR="00025149" w:rsidRDefault="00E952AD" w14:paraId="478B6816" w14:textId="77777777">
            <w:pPr>
              <w:pStyle w:val="TableParagraph"/>
              <w:ind w:left="107"/>
            </w:pPr>
            <w:r w:rsidRPr="00C115A5">
              <w:rPr>
                <w:spacing w:val="-2"/>
                <w:lang w:bidi="en-US"/>
              </w:rPr>
              <w:t>Marginal pricing</w:t>
            </w:r>
          </w:p>
        </w:tc>
      </w:tr>
    </w:tbl>
    <w:p w:rsidRPr="00C115A5" w:rsidR="00BB555C" w:rsidRDefault="00BB555C" w14:paraId="07CD1EA6" w14:textId="77777777"/>
    <w:sectPr w:rsidRPr="00C115A5" w:rsidR="00BB555C">
      <w:type w:val="continuous"/>
      <w:pgSz w:w="11910" w:h="16840" w:orient="portrait"/>
      <w:pgMar w:top="1380" w:right="144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14157"/>
    <w:multiLevelType w:val="hybridMultilevel"/>
    <w:tmpl w:val="B4049D2A"/>
    <w:lvl w:ilvl="0" w:tplc="D7A0C780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t-EE" w:eastAsia="en-US" w:bidi="ar-SA"/>
      </w:rPr>
    </w:lvl>
    <w:lvl w:ilvl="1" w:tplc="03E01C9A">
      <w:numFmt w:val="bullet"/>
      <w:lvlText w:val="•"/>
      <w:lvlJc w:val="left"/>
      <w:pPr>
        <w:ind w:left="1203" w:hanging="360"/>
      </w:pPr>
      <w:rPr>
        <w:rFonts w:hint="default"/>
        <w:lang w:val="et-EE" w:eastAsia="en-US" w:bidi="ar-SA"/>
      </w:rPr>
    </w:lvl>
    <w:lvl w:ilvl="2" w:tplc="BB60FFEA">
      <w:numFmt w:val="bullet"/>
      <w:lvlText w:val="•"/>
      <w:lvlJc w:val="left"/>
      <w:pPr>
        <w:ind w:left="1586" w:hanging="360"/>
      </w:pPr>
      <w:rPr>
        <w:rFonts w:hint="default"/>
        <w:lang w:val="et-EE" w:eastAsia="en-US" w:bidi="ar-SA"/>
      </w:rPr>
    </w:lvl>
    <w:lvl w:ilvl="3" w:tplc="4BB4B664">
      <w:numFmt w:val="bullet"/>
      <w:lvlText w:val="•"/>
      <w:lvlJc w:val="left"/>
      <w:pPr>
        <w:ind w:left="1969" w:hanging="360"/>
      </w:pPr>
      <w:rPr>
        <w:rFonts w:hint="default"/>
        <w:lang w:val="et-EE" w:eastAsia="en-US" w:bidi="ar-SA"/>
      </w:rPr>
    </w:lvl>
    <w:lvl w:ilvl="4" w:tplc="C28ABB22">
      <w:numFmt w:val="bullet"/>
      <w:lvlText w:val="•"/>
      <w:lvlJc w:val="left"/>
      <w:pPr>
        <w:ind w:left="2353" w:hanging="360"/>
      </w:pPr>
      <w:rPr>
        <w:rFonts w:hint="default"/>
        <w:lang w:val="et-EE" w:eastAsia="en-US" w:bidi="ar-SA"/>
      </w:rPr>
    </w:lvl>
    <w:lvl w:ilvl="5" w:tplc="77CAEF44">
      <w:numFmt w:val="bullet"/>
      <w:lvlText w:val="•"/>
      <w:lvlJc w:val="left"/>
      <w:pPr>
        <w:ind w:left="2736" w:hanging="360"/>
      </w:pPr>
      <w:rPr>
        <w:rFonts w:hint="default"/>
        <w:lang w:val="et-EE" w:eastAsia="en-US" w:bidi="ar-SA"/>
      </w:rPr>
    </w:lvl>
    <w:lvl w:ilvl="6" w:tplc="9620CC98">
      <w:numFmt w:val="bullet"/>
      <w:lvlText w:val="•"/>
      <w:lvlJc w:val="left"/>
      <w:pPr>
        <w:ind w:left="3119" w:hanging="360"/>
      </w:pPr>
      <w:rPr>
        <w:rFonts w:hint="default"/>
        <w:lang w:val="et-EE" w:eastAsia="en-US" w:bidi="ar-SA"/>
      </w:rPr>
    </w:lvl>
    <w:lvl w:ilvl="7" w:tplc="8674737E">
      <w:numFmt w:val="bullet"/>
      <w:lvlText w:val="•"/>
      <w:lvlJc w:val="left"/>
      <w:pPr>
        <w:ind w:left="3503" w:hanging="360"/>
      </w:pPr>
      <w:rPr>
        <w:rFonts w:hint="default"/>
        <w:lang w:val="et-EE" w:eastAsia="en-US" w:bidi="ar-SA"/>
      </w:rPr>
    </w:lvl>
    <w:lvl w:ilvl="8" w:tplc="41F0FDA4">
      <w:numFmt w:val="bullet"/>
      <w:lvlText w:val="•"/>
      <w:lvlJc w:val="left"/>
      <w:pPr>
        <w:ind w:left="3886" w:hanging="360"/>
      </w:pPr>
      <w:rPr>
        <w:rFonts w:hint="default"/>
        <w:lang w:val="et-EE" w:eastAsia="en-US" w:bidi="ar-SA"/>
      </w:rPr>
    </w:lvl>
  </w:abstractNum>
  <w:num w:numId="1" w16cid:durableId="109891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149"/>
    <w:rsid w:val="00025149"/>
    <w:rsid w:val="00BB555C"/>
    <w:rsid w:val="00C115A5"/>
    <w:rsid w:val="00E70354"/>
    <w:rsid w:val="00E952AD"/>
    <w:rsid w:val="0A7AC7C8"/>
    <w:rsid w:val="6FB3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7FD75"/>
  <w15:docId w15:val="{762E4F0C-4BB9-4C74-8823-F364CFB7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 w:after="32"/>
      <w:ind w:left="276"/>
    </w:pPr>
    <w:rPr>
      <w:rFonts w:ascii="Calibri Light" w:hAnsi="Calibri Light" w:eastAsia="Calibri Light" w:cs="Calibri Light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6D5712B4154E899B5F33760CC930" ma:contentTypeVersion="3" ma:contentTypeDescription="Create a new document." ma:contentTypeScope="" ma:versionID="75ac13e8f6e99db2701c32ebe81a6c0e">
  <xsd:schema xmlns:xsd="http://www.w3.org/2001/XMLSchema" xmlns:xs="http://www.w3.org/2001/XMLSchema" xmlns:p="http://schemas.microsoft.com/office/2006/metadata/properties" xmlns:ns2="d4e2a6c6-1ce9-4fa1-bc27-08c542745a7d" targetNamespace="http://schemas.microsoft.com/office/2006/metadata/properties" ma:root="true" ma:fieldsID="d88529e735a7e38106fec8105ad67c00" ns2:_="">
    <xsd:import namespace="d4e2a6c6-1ce9-4fa1-bc27-08c542745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a6c6-1ce9-4fa1-bc27-08c54274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3ACC0E-989D-4651-9463-B701220A80B3}"/>
</file>

<file path=customXml/itemProps2.xml><?xml version="1.0" encoding="utf-8"?>
<ds:datastoreItem xmlns:ds="http://schemas.openxmlformats.org/officeDocument/2006/customXml" ds:itemID="{A8F2132D-64A5-4984-864C-9931C2E0852B}"/>
</file>

<file path=customXml/itemProps3.xml><?xml version="1.0" encoding="utf-8"?>
<ds:datastoreItem xmlns:ds="http://schemas.openxmlformats.org/officeDocument/2006/customXml" ds:itemID="{74EEB6F2-94A3-479B-A670-37577E0BC9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Pärtel Tani</dc:creator>
  <cp:lastModifiedBy>Anet Marii Paumets</cp:lastModifiedBy>
  <cp:revision>4</cp:revision>
  <dcterms:created xsi:type="dcterms:W3CDTF">2025-05-02T08:01:00Z</dcterms:created>
  <dcterms:modified xsi:type="dcterms:W3CDTF">2025-05-29T12:02:47Z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0x01010066F96D5712B4154E899B5F33760CC930</vt:lpwstr>
  </property>
</Properties>
</file>