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F4759B" w14:textId="2490B178" w:rsidR="00256187" w:rsidRPr="00413B19" w:rsidRDefault="00256187" w:rsidP="00256187">
      <w:pPr>
        <w:rPr>
          <w:rFonts w:ascii="Arial" w:hAnsi="Arial" w:cs="Arial"/>
          <w:sz w:val="22"/>
          <w:szCs w:val="22"/>
        </w:rPr>
      </w:pPr>
      <w:r w:rsidRPr="00413B19">
        <w:rPr>
          <w:rFonts w:ascii="Arial" w:hAnsi="Arial" w:cs="Arial"/>
          <w:sz w:val="22"/>
          <w:szCs w:val="22"/>
        </w:rPr>
        <w:t xml:space="preserve">Elering </w:t>
      </w:r>
      <w:r>
        <w:rPr>
          <w:rFonts w:ascii="Arial" w:hAnsi="Arial" w:cs="Arial"/>
          <w:sz w:val="22"/>
          <w:szCs w:val="22"/>
        </w:rPr>
        <w:t>andis 10.03.2025 toimunud gaasituru nõukojas</w:t>
      </w:r>
      <w:r w:rsidRPr="00413B19">
        <w:rPr>
          <w:rFonts w:ascii="Arial" w:hAnsi="Arial" w:cs="Arial"/>
          <w:sz w:val="22"/>
          <w:szCs w:val="22"/>
        </w:rPr>
        <w:t xml:space="preserve"> </w:t>
      </w:r>
      <w:r>
        <w:rPr>
          <w:rFonts w:ascii="Arial" w:hAnsi="Arial" w:cs="Arial"/>
          <w:sz w:val="22"/>
          <w:szCs w:val="22"/>
        </w:rPr>
        <w:t>ülevaate</w:t>
      </w:r>
      <w:r w:rsidRPr="00413B19">
        <w:rPr>
          <w:rFonts w:ascii="Arial" w:hAnsi="Arial" w:cs="Arial"/>
          <w:sz w:val="22"/>
          <w:szCs w:val="22"/>
        </w:rPr>
        <w:t xml:space="preserve"> Elering AS gaasi ülekandevõrguga ühekordse liitumise tingimus</w:t>
      </w:r>
      <w:r>
        <w:rPr>
          <w:rFonts w:ascii="Arial" w:hAnsi="Arial" w:cs="Arial"/>
          <w:sz w:val="22"/>
          <w:szCs w:val="22"/>
        </w:rPr>
        <w:t>test</w:t>
      </w:r>
      <w:r w:rsidRPr="00413B19">
        <w:rPr>
          <w:rFonts w:ascii="Arial" w:hAnsi="Arial" w:cs="Arial"/>
          <w:sz w:val="22"/>
          <w:szCs w:val="22"/>
        </w:rPr>
        <w:t xml:space="preserve"> Pakrineemes (edaspidi Pakrineeme liitumistingimused) </w:t>
      </w:r>
      <w:r>
        <w:rPr>
          <w:rFonts w:ascii="Arial" w:hAnsi="Arial" w:cs="Arial"/>
          <w:sz w:val="22"/>
          <w:szCs w:val="22"/>
        </w:rPr>
        <w:t xml:space="preserve">ja aastal 2024 läbi viidud avalikul konsultatsioonil esitatud tagasiside kohta. Samuti võimaldas Elering turuosalistele esitada veel täiendavaid kommentaare enne Pakrineeme liitumistingimuste kehtestamist. </w:t>
      </w:r>
      <w:r w:rsidR="001F18E6">
        <w:rPr>
          <w:rFonts w:ascii="Arial" w:hAnsi="Arial" w:cs="Arial"/>
          <w:sz w:val="22"/>
          <w:szCs w:val="22"/>
        </w:rPr>
        <w:t xml:space="preserve">Täiendava </w:t>
      </w:r>
      <w:r>
        <w:rPr>
          <w:rFonts w:ascii="Arial" w:hAnsi="Arial" w:cs="Arial"/>
          <w:sz w:val="22"/>
          <w:szCs w:val="22"/>
        </w:rPr>
        <w:t>tagasiside</w:t>
      </w:r>
      <w:r w:rsidR="001F18E6">
        <w:rPr>
          <w:rFonts w:ascii="Arial" w:hAnsi="Arial" w:cs="Arial"/>
          <w:sz w:val="22"/>
          <w:szCs w:val="22"/>
        </w:rPr>
        <w:t xml:space="preserve"> esitas</w:t>
      </w:r>
      <w:r>
        <w:rPr>
          <w:rFonts w:ascii="Arial" w:hAnsi="Arial" w:cs="Arial"/>
          <w:sz w:val="22"/>
          <w:szCs w:val="22"/>
        </w:rPr>
        <w:t xml:space="preserve"> 2 turuosalist</w:t>
      </w:r>
      <w:r w:rsidR="001F18E6">
        <w:rPr>
          <w:rFonts w:ascii="Arial" w:hAnsi="Arial" w:cs="Arial"/>
          <w:sz w:val="22"/>
          <w:szCs w:val="22"/>
        </w:rPr>
        <w:t xml:space="preserve">. </w:t>
      </w:r>
      <w:r>
        <w:rPr>
          <w:rFonts w:ascii="Arial" w:hAnsi="Arial" w:cs="Arial"/>
          <w:sz w:val="22"/>
          <w:szCs w:val="22"/>
        </w:rPr>
        <w:t xml:space="preserve">Elering </w:t>
      </w:r>
      <w:r w:rsidR="001F18E6">
        <w:rPr>
          <w:rFonts w:ascii="Arial" w:hAnsi="Arial" w:cs="Arial"/>
          <w:sz w:val="22"/>
          <w:szCs w:val="22"/>
        </w:rPr>
        <w:t xml:space="preserve">kõiki </w:t>
      </w:r>
      <w:r>
        <w:rPr>
          <w:rFonts w:ascii="Arial" w:hAnsi="Arial" w:cs="Arial"/>
          <w:sz w:val="22"/>
          <w:szCs w:val="22"/>
        </w:rPr>
        <w:t>tänab turuosalisi</w:t>
      </w:r>
      <w:r w:rsidR="001F18E6">
        <w:rPr>
          <w:rFonts w:ascii="Arial" w:hAnsi="Arial" w:cs="Arial"/>
          <w:sz w:val="22"/>
          <w:szCs w:val="22"/>
        </w:rPr>
        <w:t xml:space="preserve"> esitatud</w:t>
      </w:r>
      <w:r>
        <w:rPr>
          <w:rFonts w:ascii="Arial" w:hAnsi="Arial" w:cs="Arial"/>
          <w:sz w:val="22"/>
          <w:szCs w:val="22"/>
        </w:rPr>
        <w:t xml:space="preserve"> kommentaaride</w:t>
      </w:r>
      <w:r w:rsidR="001F18E6">
        <w:rPr>
          <w:rFonts w:ascii="Arial" w:hAnsi="Arial" w:cs="Arial"/>
          <w:sz w:val="22"/>
          <w:szCs w:val="22"/>
        </w:rPr>
        <w:t xml:space="preserve"> ja ettepanekute </w:t>
      </w:r>
      <w:r>
        <w:rPr>
          <w:rFonts w:ascii="Arial" w:hAnsi="Arial" w:cs="Arial"/>
          <w:sz w:val="22"/>
          <w:szCs w:val="22"/>
        </w:rPr>
        <w:t>esitamise eest. Käesolevaga anname ülevaate avaliku konsultatsiooni raames esitatud tagasiside kohta koos Eleringi vastustega.</w:t>
      </w:r>
    </w:p>
    <w:p w14:paraId="5F506B7C" w14:textId="77777777" w:rsidR="00256187" w:rsidRPr="00413B19" w:rsidRDefault="00256187" w:rsidP="00256187">
      <w:pPr>
        <w:rPr>
          <w:rFonts w:ascii="Arial" w:hAnsi="Arial" w:cs="Arial"/>
          <w:sz w:val="22"/>
          <w:szCs w:val="22"/>
        </w:rPr>
      </w:pPr>
    </w:p>
    <w:p w14:paraId="4B0D0641" w14:textId="77777777" w:rsidR="00256187" w:rsidRDefault="00256187" w:rsidP="00256187">
      <w:pPr>
        <w:tabs>
          <w:tab w:val="num" w:pos="720"/>
        </w:tabs>
      </w:pPr>
    </w:p>
    <w:p w14:paraId="7C82B0C6" w14:textId="02D413B5" w:rsidR="00256187" w:rsidRPr="00872E3A" w:rsidRDefault="00872E3A" w:rsidP="00256187">
      <w:pPr>
        <w:rPr>
          <w:rFonts w:ascii="Arial" w:hAnsi="Arial" w:cs="Arial"/>
          <w:b/>
          <w:bCs/>
          <w:sz w:val="32"/>
          <w:szCs w:val="32"/>
          <w:u w:val="single"/>
        </w:rPr>
      </w:pPr>
      <w:r w:rsidRPr="00872E3A">
        <w:rPr>
          <w:rFonts w:ascii="Arial" w:hAnsi="Arial" w:cs="Arial"/>
          <w:b/>
          <w:bCs/>
          <w:sz w:val="32"/>
          <w:szCs w:val="32"/>
          <w:u w:val="single"/>
        </w:rPr>
        <w:t>Turuosaline 1</w:t>
      </w:r>
    </w:p>
    <w:p w14:paraId="3C716DCE" w14:textId="15F7D31B" w:rsidR="00872E3A" w:rsidRDefault="00872E3A" w:rsidP="00256187">
      <w:pPr>
        <w:rPr>
          <w:rFonts w:ascii="Arial" w:hAnsi="Arial" w:cs="Arial"/>
          <w:b/>
          <w:bCs/>
          <w:sz w:val="22"/>
          <w:szCs w:val="22"/>
          <w:u w:val="single"/>
        </w:rPr>
      </w:pPr>
    </w:p>
    <w:p w14:paraId="7F323CC9" w14:textId="7B9C8957" w:rsidR="00872E3A" w:rsidRPr="00872E3A" w:rsidRDefault="00872E3A" w:rsidP="00256187">
      <w:pPr>
        <w:rPr>
          <w:rFonts w:ascii="Arial" w:hAnsi="Arial" w:cs="Arial"/>
          <w:sz w:val="22"/>
          <w:szCs w:val="22"/>
        </w:rPr>
      </w:pPr>
      <w:r>
        <w:rPr>
          <w:rFonts w:ascii="Arial" w:hAnsi="Arial" w:cs="Arial"/>
          <w:sz w:val="22"/>
          <w:szCs w:val="22"/>
        </w:rPr>
        <w:t>Turuosaline 1 poolt esitatud ettepanekud ja märkused on lisatud Pakrineeme liitumistingimuste</w:t>
      </w:r>
      <w:r w:rsidR="00CB0474">
        <w:rPr>
          <w:rFonts w:ascii="Arial" w:hAnsi="Arial" w:cs="Arial"/>
          <w:sz w:val="22"/>
          <w:szCs w:val="22"/>
        </w:rPr>
        <w:t xml:space="preserve"> failis </w:t>
      </w:r>
      <w:r>
        <w:rPr>
          <w:rFonts w:ascii="Arial" w:hAnsi="Arial" w:cs="Arial"/>
          <w:sz w:val="22"/>
          <w:szCs w:val="22"/>
        </w:rPr>
        <w:t>kommentaaride</w:t>
      </w:r>
      <w:r w:rsidR="00CB0474">
        <w:rPr>
          <w:rFonts w:ascii="Arial" w:hAnsi="Arial" w:cs="Arial"/>
          <w:sz w:val="22"/>
          <w:szCs w:val="22"/>
        </w:rPr>
        <w:t>na</w:t>
      </w:r>
      <w:r>
        <w:rPr>
          <w:rFonts w:ascii="Arial" w:hAnsi="Arial" w:cs="Arial"/>
          <w:sz w:val="22"/>
          <w:szCs w:val="22"/>
        </w:rPr>
        <w:t xml:space="preserve">, </w:t>
      </w:r>
      <w:r w:rsidR="001F18E6">
        <w:rPr>
          <w:rFonts w:ascii="Arial" w:hAnsi="Arial" w:cs="Arial"/>
          <w:sz w:val="22"/>
          <w:szCs w:val="22"/>
        </w:rPr>
        <w:t xml:space="preserve">kus on lisatud vastused </w:t>
      </w:r>
      <w:r w:rsidR="00CB0474">
        <w:rPr>
          <w:rFonts w:ascii="Arial" w:hAnsi="Arial" w:cs="Arial"/>
          <w:sz w:val="22"/>
          <w:szCs w:val="22"/>
        </w:rPr>
        <w:t>Eleringi poolt.</w:t>
      </w:r>
      <w:r>
        <w:rPr>
          <w:rFonts w:ascii="Arial" w:hAnsi="Arial" w:cs="Arial"/>
          <w:sz w:val="22"/>
          <w:szCs w:val="22"/>
        </w:rPr>
        <w:t xml:space="preserve"> </w:t>
      </w:r>
      <w:r w:rsidR="00CB0474">
        <w:rPr>
          <w:rFonts w:ascii="Arial" w:hAnsi="Arial" w:cs="Arial"/>
          <w:sz w:val="22"/>
          <w:szCs w:val="22"/>
        </w:rPr>
        <w:t>T</w:t>
      </w:r>
      <w:r>
        <w:rPr>
          <w:rFonts w:ascii="Arial" w:hAnsi="Arial" w:cs="Arial"/>
          <w:sz w:val="22"/>
          <w:szCs w:val="22"/>
        </w:rPr>
        <w:t xml:space="preserve">äiendavalt </w:t>
      </w:r>
      <w:r w:rsidR="00CB0474">
        <w:rPr>
          <w:rFonts w:ascii="Arial" w:hAnsi="Arial" w:cs="Arial"/>
          <w:sz w:val="22"/>
          <w:szCs w:val="22"/>
        </w:rPr>
        <w:t xml:space="preserve">esitas </w:t>
      </w:r>
      <w:r>
        <w:rPr>
          <w:rFonts w:ascii="Arial" w:hAnsi="Arial" w:cs="Arial"/>
          <w:sz w:val="22"/>
          <w:szCs w:val="22"/>
        </w:rPr>
        <w:t>turuosaline 1 järgnevad omapoolsed</w:t>
      </w:r>
      <w:r w:rsidR="00C6733E">
        <w:rPr>
          <w:rFonts w:ascii="Arial" w:hAnsi="Arial" w:cs="Arial"/>
          <w:sz w:val="22"/>
          <w:szCs w:val="22"/>
        </w:rPr>
        <w:t xml:space="preserve"> üldised kommentaarid</w:t>
      </w:r>
      <w:r>
        <w:rPr>
          <w:rFonts w:ascii="Arial" w:hAnsi="Arial" w:cs="Arial"/>
          <w:sz w:val="22"/>
          <w:szCs w:val="22"/>
        </w:rPr>
        <w:t xml:space="preserve"> kommentaarid</w:t>
      </w:r>
      <w:r w:rsidR="00C6733E">
        <w:rPr>
          <w:rFonts w:ascii="Arial" w:hAnsi="Arial" w:cs="Arial"/>
          <w:sz w:val="22"/>
          <w:szCs w:val="22"/>
        </w:rPr>
        <w:t>:</w:t>
      </w:r>
      <w:r>
        <w:rPr>
          <w:rFonts w:ascii="Arial" w:hAnsi="Arial" w:cs="Arial"/>
          <w:sz w:val="22"/>
          <w:szCs w:val="22"/>
        </w:rPr>
        <w:t xml:space="preserve"> </w:t>
      </w:r>
    </w:p>
    <w:p w14:paraId="7DE5BFBF" w14:textId="77777777" w:rsidR="00872E3A" w:rsidRPr="00872E3A" w:rsidRDefault="00872E3A" w:rsidP="00256187">
      <w:pPr>
        <w:rPr>
          <w:rFonts w:ascii="Arial" w:hAnsi="Arial" w:cs="Arial"/>
          <w:b/>
          <w:bCs/>
          <w:sz w:val="32"/>
          <w:szCs w:val="32"/>
          <w:u w:val="single"/>
        </w:rPr>
      </w:pPr>
    </w:p>
    <w:p w14:paraId="7DFDD711" w14:textId="77777777" w:rsidR="00256187" w:rsidRPr="00187417" w:rsidRDefault="00256187" w:rsidP="00C6733E">
      <w:pPr>
        <w:numPr>
          <w:ilvl w:val="0"/>
          <w:numId w:val="17"/>
        </w:numPr>
        <w:ind w:left="357" w:hanging="357"/>
        <w:rPr>
          <w:rFonts w:ascii="Arial" w:hAnsi="Arial" w:cs="Arial"/>
          <w:sz w:val="22"/>
          <w:szCs w:val="22"/>
        </w:rPr>
      </w:pPr>
      <w:r w:rsidRPr="00187417">
        <w:rPr>
          <w:rFonts w:ascii="Arial" w:hAnsi="Arial" w:cs="Arial"/>
          <w:sz w:val="22"/>
          <w:szCs w:val="22"/>
        </w:rPr>
        <w:t>Kuigi mitmed küsimused said selgemad ja paremini lahendatud, siis meie (ja tõenäoliselt teiste võimalike klientide) peamine mure on jätkuvalt selles, et lepingus kohaldatavad tingimused seavad:</w:t>
      </w:r>
    </w:p>
    <w:p w14:paraId="0E309F97" w14:textId="77777777" w:rsidR="00256187" w:rsidRPr="00187417" w:rsidRDefault="00256187" w:rsidP="001F18E6">
      <w:pPr>
        <w:numPr>
          <w:ilvl w:val="1"/>
          <w:numId w:val="18"/>
        </w:numPr>
        <w:ind w:left="357" w:right="709" w:hanging="357"/>
        <w:rPr>
          <w:rFonts w:ascii="Arial" w:hAnsi="Arial" w:cs="Arial"/>
          <w:sz w:val="22"/>
          <w:szCs w:val="22"/>
        </w:rPr>
      </w:pPr>
      <w:r w:rsidRPr="00187417">
        <w:rPr>
          <w:rFonts w:ascii="Arial" w:hAnsi="Arial" w:cs="Arial"/>
          <w:sz w:val="22"/>
          <w:szCs w:val="22"/>
        </w:rPr>
        <w:t>põhjendamatult suure vastutuse kliendile;</w:t>
      </w:r>
    </w:p>
    <w:p w14:paraId="7A67136F" w14:textId="77777777" w:rsidR="00256187" w:rsidRPr="00187417" w:rsidRDefault="00256187" w:rsidP="00C6733E">
      <w:pPr>
        <w:numPr>
          <w:ilvl w:val="1"/>
          <w:numId w:val="18"/>
        </w:numPr>
        <w:ind w:left="357" w:hanging="357"/>
        <w:rPr>
          <w:rFonts w:ascii="Arial" w:hAnsi="Arial" w:cs="Arial"/>
          <w:sz w:val="22"/>
          <w:szCs w:val="22"/>
        </w:rPr>
      </w:pPr>
      <w:r w:rsidRPr="00187417">
        <w:rPr>
          <w:rFonts w:ascii="Arial" w:hAnsi="Arial" w:cs="Arial"/>
          <w:sz w:val="22"/>
          <w:szCs w:val="22"/>
        </w:rPr>
        <w:t>põhjendamatult pikad menetlustähtajad.</w:t>
      </w:r>
    </w:p>
    <w:p w14:paraId="5F617046" w14:textId="2E4FF7C4" w:rsidR="00256187" w:rsidRDefault="00256187" w:rsidP="00256187">
      <w:pPr>
        <w:rPr>
          <w:rFonts w:ascii="Arial" w:hAnsi="Arial" w:cs="Arial"/>
          <w:sz w:val="22"/>
          <w:szCs w:val="22"/>
        </w:rPr>
      </w:pPr>
      <w:r w:rsidRPr="00187417">
        <w:rPr>
          <w:rFonts w:ascii="Arial" w:hAnsi="Arial" w:cs="Arial"/>
          <w:sz w:val="22"/>
          <w:szCs w:val="22"/>
        </w:rPr>
        <w:t>Selle tulemusel võib muutuda äriliselt mitte mõistlikuks sisestuspunkti kasutada. Seega jäävad ka mitmed meie eelmises kirjas toodud seisukohad kehtima.</w:t>
      </w:r>
    </w:p>
    <w:p w14:paraId="6ACBB503" w14:textId="77777777" w:rsidR="00C6733E" w:rsidRDefault="00C6733E" w:rsidP="00256187">
      <w:pPr>
        <w:rPr>
          <w:rFonts w:ascii="Arial" w:hAnsi="Arial" w:cs="Arial"/>
          <w:sz w:val="22"/>
          <w:szCs w:val="22"/>
        </w:rPr>
      </w:pPr>
    </w:p>
    <w:p w14:paraId="674B276A" w14:textId="3C627DAF" w:rsidR="00C6733E" w:rsidRDefault="00C6733E" w:rsidP="00256187">
      <w:pPr>
        <w:rPr>
          <w:rFonts w:ascii="Arial" w:hAnsi="Arial" w:cs="Arial"/>
          <w:color w:val="00B050"/>
          <w:sz w:val="22"/>
          <w:szCs w:val="22"/>
        </w:rPr>
      </w:pPr>
      <w:r w:rsidRPr="00C6733E">
        <w:rPr>
          <w:rFonts w:ascii="Arial" w:hAnsi="Arial" w:cs="Arial"/>
          <w:color w:val="00B050"/>
          <w:sz w:val="22"/>
          <w:szCs w:val="22"/>
        </w:rPr>
        <w:t>Eleringi vastus:</w:t>
      </w:r>
    </w:p>
    <w:p w14:paraId="1EC96468" w14:textId="44ED0A4C" w:rsidR="00C6733E" w:rsidRDefault="00340C56" w:rsidP="00256187">
      <w:pPr>
        <w:rPr>
          <w:rFonts w:ascii="Arial" w:hAnsi="Arial" w:cs="Arial"/>
          <w:color w:val="00B050"/>
          <w:sz w:val="22"/>
          <w:szCs w:val="22"/>
        </w:rPr>
      </w:pPr>
      <w:r>
        <w:rPr>
          <w:rFonts w:ascii="Arial" w:hAnsi="Arial" w:cs="Arial"/>
          <w:color w:val="00B050"/>
          <w:sz w:val="22"/>
          <w:szCs w:val="22"/>
        </w:rPr>
        <w:t xml:space="preserve">Eleringi hinnangul ei erine kliendi kohustused printsiibis tavalisest gaasi ülekandevõrguga liitumise protsessist. Mööname, et Pakrineeme liitumistingimuste alusel liitumisel puhul on tegemist ajavahemikuga, mil klient saab gaasi võrku anda ning siin on oluline, et klient oleks piisavalt ettevalmistunud dokumentide esitamisega. Samuti märgime, et Elering on omalt poolt menetlusaegasid oluliselt lühendanud ning tegeleb juba mõningate tegevuste ettevalmistamisega (nt koostööpartnerite töögraafikute läbiarutamisega). Samuti on </w:t>
      </w:r>
      <w:r w:rsidR="004343AA">
        <w:rPr>
          <w:rFonts w:ascii="Arial" w:hAnsi="Arial" w:cs="Arial"/>
          <w:color w:val="00B050"/>
          <w:sz w:val="22"/>
          <w:szCs w:val="22"/>
        </w:rPr>
        <w:t xml:space="preserve">kliendil </w:t>
      </w:r>
      <w:r>
        <w:rPr>
          <w:rFonts w:ascii="Arial" w:hAnsi="Arial" w:cs="Arial"/>
          <w:color w:val="00B050"/>
          <w:sz w:val="22"/>
          <w:szCs w:val="22"/>
        </w:rPr>
        <w:t xml:space="preserve">võimalik </w:t>
      </w:r>
      <w:r w:rsidR="004343AA">
        <w:rPr>
          <w:rFonts w:ascii="Arial" w:hAnsi="Arial" w:cs="Arial"/>
          <w:color w:val="00B050"/>
          <w:sz w:val="22"/>
          <w:szCs w:val="22"/>
        </w:rPr>
        <w:t>esitada Eleringile ülevaatamiseks dokumente enne</w:t>
      </w:r>
      <w:r>
        <w:rPr>
          <w:rFonts w:ascii="Arial" w:hAnsi="Arial" w:cs="Arial"/>
          <w:color w:val="00B050"/>
          <w:sz w:val="22"/>
          <w:szCs w:val="22"/>
        </w:rPr>
        <w:t xml:space="preserve"> liitumistaotluse esitamist läbi vaadata, et liitumistaotluse esitamisel </w:t>
      </w:r>
      <w:r w:rsidR="004343AA">
        <w:rPr>
          <w:rFonts w:ascii="Arial" w:hAnsi="Arial" w:cs="Arial"/>
          <w:color w:val="00B050"/>
          <w:sz w:val="22"/>
          <w:szCs w:val="22"/>
        </w:rPr>
        <w:t>menetlus</w:t>
      </w:r>
      <w:r>
        <w:rPr>
          <w:rFonts w:ascii="Arial" w:hAnsi="Arial" w:cs="Arial"/>
          <w:color w:val="00B050"/>
          <w:sz w:val="22"/>
          <w:szCs w:val="22"/>
        </w:rPr>
        <w:t xml:space="preserve"> kulgeks</w:t>
      </w:r>
      <w:r w:rsidR="004343AA">
        <w:rPr>
          <w:rFonts w:ascii="Arial" w:hAnsi="Arial" w:cs="Arial"/>
          <w:color w:val="00B050"/>
          <w:sz w:val="22"/>
          <w:szCs w:val="22"/>
        </w:rPr>
        <w:t xml:space="preserve"> kiiremini ja sujuvamalt</w:t>
      </w:r>
      <w:r>
        <w:rPr>
          <w:rFonts w:ascii="Arial" w:hAnsi="Arial" w:cs="Arial"/>
          <w:color w:val="00B050"/>
          <w:sz w:val="22"/>
          <w:szCs w:val="22"/>
        </w:rPr>
        <w:t xml:space="preserve">. </w:t>
      </w:r>
    </w:p>
    <w:p w14:paraId="37DE3026" w14:textId="77777777" w:rsidR="00C6733E" w:rsidRPr="00187417" w:rsidRDefault="00C6733E" w:rsidP="00256187">
      <w:pPr>
        <w:rPr>
          <w:rFonts w:ascii="Arial" w:hAnsi="Arial" w:cs="Arial"/>
          <w:sz w:val="22"/>
          <w:szCs w:val="22"/>
        </w:rPr>
      </w:pPr>
    </w:p>
    <w:p w14:paraId="381D1D73" w14:textId="77777777" w:rsidR="00256187" w:rsidRDefault="00256187" w:rsidP="00C6733E">
      <w:pPr>
        <w:numPr>
          <w:ilvl w:val="0"/>
          <w:numId w:val="17"/>
        </w:numPr>
        <w:ind w:left="357" w:hanging="357"/>
        <w:rPr>
          <w:rFonts w:ascii="Arial" w:hAnsi="Arial" w:cs="Arial"/>
          <w:sz w:val="22"/>
          <w:szCs w:val="22"/>
        </w:rPr>
      </w:pPr>
      <w:r w:rsidRPr="00187417">
        <w:rPr>
          <w:rFonts w:ascii="Arial" w:hAnsi="Arial" w:cs="Arial"/>
          <w:sz w:val="22"/>
          <w:szCs w:val="22"/>
        </w:rPr>
        <w:t>Kui kiiresti Elering kinnitab ülekandevõimsuse broneeringu alates broneerimisavalduse tegemisest? Laeva prahtimistingimused kehtivad üldjuhul 24 h, mille jooksul tuleb öelda, kas sõlmitakse leping või mitte. Seega ülekandevõimsuse broneeringu kinnituse peaks saama ka max. 24 h jooksul.</w:t>
      </w:r>
    </w:p>
    <w:p w14:paraId="7BBFE85A" w14:textId="77777777" w:rsidR="00C6733E" w:rsidRDefault="00C6733E" w:rsidP="00C6733E">
      <w:pPr>
        <w:rPr>
          <w:rFonts w:ascii="Arial" w:hAnsi="Arial" w:cs="Arial"/>
          <w:sz w:val="22"/>
          <w:szCs w:val="22"/>
        </w:rPr>
      </w:pPr>
    </w:p>
    <w:p w14:paraId="3622ACA3" w14:textId="77777777" w:rsidR="001F18E6" w:rsidRDefault="001F18E6" w:rsidP="001F18E6">
      <w:pPr>
        <w:rPr>
          <w:rFonts w:ascii="Arial" w:hAnsi="Arial" w:cs="Arial"/>
          <w:color w:val="00B050"/>
          <w:sz w:val="22"/>
          <w:szCs w:val="22"/>
        </w:rPr>
      </w:pPr>
      <w:r w:rsidRPr="00C6733E">
        <w:rPr>
          <w:rFonts w:ascii="Arial" w:hAnsi="Arial" w:cs="Arial"/>
          <w:color w:val="00B050"/>
          <w:sz w:val="22"/>
          <w:szCs w:val="22"/>
        </w:rPr>
        <w:t>Eleringi vastus:</w:t>
      </w:r>
    </w:p>
    <w:p w14:paraId="0F08A1E5" w14:textId="06AB1210" w:rsidR="001F18E6" w:rsidRDefault="001F18E6" w:rsidP="001F18E6">
      <w:pPr>
        <w:rPr>
          <w:rFonts w:ascii="Arial" w:hAnsi="Arial" w:cs="Arial"/>
          <w:color w:val="00B050"/>
          <w:sz w:val="22"/>
          <w:szCs w:val="22"/>
        </w:rPr>
      </w:pPr>
      <w:r>
        <w:rPr>
          <w:rFonts w:ascii="Arial" w:hAnsi="Arial" w:cs="Arial"/>
          <w:color w:val="00B050"/>
          <w:sz w:val="22"/>
          <w:szCs w:val="22"/>
        </w:rPr>
        <w:t xml:space="preserve">Ülekandevõimsuse broneerimistaotluse menetlemine toimub </w:t>
      </w:r>
      <w:r w:rsidR="004343AA">
        <w:rPr>
          <w:rFonts w:ascii="Arial" w:hAnsi="Arial" w:cs="Arial"/>
          <w:color w:val="00B050"/>
          <w:sz w:val="22"/>
          <w:szCs w:val="22"/>
        </w:rPr>
        <w:t>dokumendi</w:t>
      </w:r>
      <w:r>
        <w:rPr>
          <w:rFonts w:ascii="Arial" w:hAnsi="Arial" w:cs="Arial"/>
          <w:color w:val="00B050"/>
          <w:sz w:val="22"/>
          <w:szCs w:val="22"/>
        </w:rPr>
        <w:t xml:space="preserve"> </w:t>
      </w:r>
      <w:r w:rsidR="004343AA" w:rsidRPr="004343AA">
        <w:rPr>
          <w:rFonts w:ascii="Arial" w:hAnsi="Arial" w:cs="Arial"/>
          <w:color w:val="00B050"/>
          <w:sz w:val="22"/>
          <w:szCs w:val="22"/>
        </w:rPr>
        <w:t>„</w:t>
      </w:r>
      <w:proofErr w:type="spellStart"/>
      <w:r w:rsidR="004343AA" w:rsidRPr="004343AA">
        <w:rPr>
          <w:rFonts w:ascii="Arial" w:hAnsi="Arial" w:cs="Arial"/>
          <w:color w:val="00B050"/>
          <w:sz w:val="22"/>
          <w:szCs w:val="22"/>
        </w:rPr>
        <w:t>Common</w:t>
      </w:r>
      <w:proofErr w:type="spellEnd"/>
      <w:r w:rsidR="004343AA" w:rsidRPr="004343AA">
        <w:rPr>
          <w:rFonts w:ascii="Arial" w:hAnsi="Arial" w:cs="Arial"/>
          <w:color w:val="00B050"/>
          <w:sz w:val="22"/>
          <w:szCs w:val="22"/>
        </w:rPr>
        <w:t xml:space="preserve"> </w:t>
      </w:r>
      <w:proofErr w:type="spellStart"/>
      <w:r w:rsidR="004343AA" w:rsidRPr="004343AA">
        <w:rPr>
          <w:rFonts w:ascii="Arial" w:hAnsi="Arial" w:cs="Arial"/>
          <w:color w:val="00B050"/>
          <w:sz w:val="22"/>
          <w:szCs w:val="22"/>
        </w:rPr>
        <w:t>Regulations</w:t>
      </w:r>
      <w:proofErr w:type="spellEnd"/>
      <w:r w:rsidR="004343AA" w:rsidRPr="004343AA">
        <w:rPr>
          <w:rFonts w:ascii="Arial" w:hAnsi="Arial" w:cs="Arial"/>
          <w:color w:val="00B050"/>
          <w:sz w:val="22"/>
          <w:szCs w:val="22"/>
        </w:rPr>
        <w:t xml:space="preserve"> </w:t>
      </w:r>
      <w:proofErr w:type="spellStart"/>
      <w:r w:rsidR="004343AA" w:rsidRPr="004343AA">
        <w:rPr>
          <w:rFonts w:ascii="Arial" w:hAnsi="Arial" w:cs="Arial"/>
          <w:color w:val="00B050"/>
          <w:sz w:val="22"/>
          <w:szCs w:val="22"/>
        </w:rPr>
        <w:t>for</w:t>
      </w:r>
      <w:proofErr w:type="spellEnd"/>
      <w:r w:rsidR="004343AA" w:rsidRPr="004343AA">
        <w:rPr>
          <w:rFonts w:ascii="Arial" w:hAnsi="Arial" w:cs="Arial"/>
          <w:color w:val="00B050"/>
          <w:sz w:val="22"/>
          <w:szCs w:val="22"/>
        </w:rPr>
        <w:t xml:space="preserve"> </w:t>
      </w:r>
      <w:proofErr w:type="spellStart"/>
      <w:r w:rsidR="004343AA" w:rsidRPr="004343AA">
        <w:rPr>
          <w:rFonts w:ascii="Arial" w:hAnsi="Arial" w:cs="Arial"/>
          <w:color w:val="00B050"/>
          <w:sz w:val="22"/>
          <w:szCs w:val="22"/>
        </w:rPr>
        <w:t>the</w:t>
      </w:r>
      <w:proofErr w:type="spellEnd"/>
      <w:r w:rsidR="004343AA" w:rsidRPr="004343AA">
        <w:rPr>
          <w:rFonts w:ascii="Arial" w:hAnsi="Arial" w:cs="Arial"/>
          <w:color w:val="00B050"/>
          <w:sz w:val="22"/>
          <w:szCs w:val="22"/>
        </w:rPr>
        <w:t xml:space="preserve"> </w:t>
      </w:r>
      <w:proofErr w:type="spellStart"/>
      <w:r w:rsidR="004343AA" w:rsidRPr="004343AA">
        <w:rPr>
          <w:rFonts w:ascii="Arial" w:hAnsi="Arial" w:cs="Arial"/>
          <w:color w:val="00B050"/>
          <w:sz w:val="22"/>
          <w:szCs w:val="22"/>
        </w:rPr>
        <w:t>Use</w:t>
      </w:r>
      <w:proofErr w:type="spellEnd"/>
      <w:r w:rsidR="004343AA" w:rsidRPr="004343AA">
        <w:rPr>
          <w:rFonts w:ascii="Arial" w:hAnsi="Arial" w:cs="Arial"/>
          <w:color w:val="00B050"/>
          <w:sz w:val="22"/>
          <w:szCs w:val="22"/>
        </w:rPr>
        <w:t xml:space="preserve"> of Natural </w:t>
      </w:r>
      <w:proofErr w:type="spellStart"/>
      <w:r w:rsidR="004343AA" w:rsidRPr="004343AA">
        <w:rPr>
          <w:rFonts w:ascii="Arial" w:hAnsi="Arial" w:cs="Arial"/>
          <w:color w:val="00B050"/>
          <w:sz w:val="22"/>
          <w:szCs w:val="22"/>
        </w:rPr>
        <w:t>Gas</w:t>
      </w:r>
      <w:proofErr w:type="spellEnd"/>
      <w:r w:rsidR="004343AA" w:rsidRPr="004343AA">
        <w:rPr>
          <w:rFonts w:ascii="Arial" w:hAnsi="Arial" w:cs="Arial"/>
          <w:color w:val="00B050"/>
          <w:sz w:val="22"/>
          <w:szCs w:val="22"/>
        </w:rPr>
        <w:t xml:space="preserve"> </w:t>
      </w:r>
      <w:proofErr w:type="spellStart"/>
      <w:r w:rsidR="004343AA" w:rsidRPr="004343AA">
        <w:rPr>
          <w:rFonts w:ascii="Arial" w:hAnsi="Arial" w:cs="Arial"/>
          <w:color w:val="00B050"/>
          <w:sz w:val="22"/>
          <w:szCs w:val="22"/>
        </w:rPr>
        <w:t>Transmission</w:t>
      </w:r>
      <w:proofErr w:type="spellEnd"/>
      <w:r w:rsidR="004343AA" w:rsidRPr="004343AA">
        <w:rPr>
          <w:rFonts w:ascii="Arial" w:hAnsi="Arial" w:cs="Arial"/>
          <w:color w:val="00B050"/>
          <w:sz w:val="22"/>
          <w:szCs w:val="22"/>
        </w:rPr>
        <w:t xml:space="preserve"> System“ </w:t>
      </w:r>
      <w:r w:rsidR="004343AA">
        <w:rPr>
          <w:rFonts w:ascii="Arial" w:hAnsi="Arial" w:cs="Arial"/>
          <w:color w:val="00B050"/>
          <w:sz w:val="22"/>
          <w:szCs w:val="22"/>
        </w:rPr>
        <w:t xml:space="preserve">tingimuste alusel, mille </w:t>
      </w:r>
      <w:r w:rsidR="00AC32C2">
        <w:rPr>
          <w:rFonts w:ascii="Arial" w:hAnsi="Arial" w:cs="Arial"/>
          <w:color w:val="00B050"/>
          <w:sz w:val="22"/>
          <w:szCs w:val="22"/>
        </w:rPr>
        <w:t xml:space="preserve">kohaselt toimub </w:t>
      </w:r>
      <w:r w:rsidR="00C4339A">
        <w:rPr>
          <w:rFonts w:ascii="Arial" w:hAnsi="Arial" w:cs="Arial"/>
          <w:color w:val="00B050"/>
          <w:sz w:val="22"/>
          <w:szCs w:val="22"/>
        </w:rPr>
        <w:t>ü</w:t>
      </w:r>
      <w:r w:rsidR="00AC32C2">
        <w:rPr>
          <w:rFonts w:ascii="Arial" w:hAnsi="Arial" w:cs="Arial"/>
          <w:color w:val="00B050"/>
          <w:sz w:val="22"/>
          <w:szCs w:val="22"/>
        </w:rPr>
        <w:t xml:space="preserve">lekandevõimsuse broneerimine </w:t>
      </w:r>
      <w:r w:rsidR="00B571AB">
        <w:rPr>
          <w:rFonts w:ascii="Arial" w:hAnsi="Arial" w:cs="Arial"/>
          <w:color w:val="00B050"/>
          <w:sz w:val="22"/>
          <w:szCs w:val="22"/>
        </w:rPr>
        <w:t xml:space="preserve">järgmise kalendripäeva jooksul. Samuti on </w:t>
      </w:r>
      <w:r w:rsidR="00C4339A">
        <w:rPr>
          <w:rFonts w:ascii="Arial" w:hAnsi="Arial" w:cs="Arial"/>
          <w:color w:val="00B050"/>
          <w:sz w:val="22"/>
          <w:szCs w:val="22"/>
        </w:rPr>
        <w:t>liitujal</w:t>
      </w:r>
      <w:r w:rsidR="00B571AB">
        <w:rPr>
          <w:rFonts w:ascii="Arial" w:hAnsi="Arial" w:cs="Arial"/>
          <w:color w:val="00B050"/>
          <w:sz w:val="22"/>
          <w:szCs w:val="22"/>
        </w:rPr>
        <w:t xml:space="preserve"> võimalik küsida Eleringilt vabade ülekandevõimsuste</w:t>
      </w:r>
      <w:r w:rsidR="00887B31">
        <w:rPr>
          <w:rFonts w:ascii="Arial" w:hAnsi="Arial" w:cs="Arial"/>
          <w:color w:val="00B050"/>
          <w:sz w:val="22"/>
          <w:szCs w:val="22"/>
        </w:rPr>
        <w:t xml:space="preserve"> osas</w:t>
      </w:r>
      <w:r w:rsidR="00C4339A">
        <w:rPr>
          <w:rFonts w:ascii="Arial" w:hAnsi="Arial" w:cs="Arial"/>
          <w:color w:val="00B050"/>
          <w:sz w:val="22"/>
          <w:szCs w:val="22"/>
        </w:rPr>
        <w:t xml:space="preserve"> </w:t>
      </w:r>
      <w:r w:rsidR="00887B31">
        <w:rPr>
          <w:rFonts w:ascii="Arial" w:hAnsi="Arial" w:cs="Arial"/>
          <w:color w:val="00B050"/>
          <w:sz w:val="22"/>
          <w:szCs w:val="22"/>
        </w:rPr>
        <w:t>eelhinnangut kuni 5 kuu pikkuse perioodi</w:t>
      </w:r>
      <w:r w:rsidR="00887B31">
        <w:rPr>
          <w:rFonts w:ascii="Arial" w:hAnsi="Arial" w:cs="Arial"/>
          <w:color w:val="00B050"/>
          <w:sz w:val="22"/>
          <w:szCs w:val="22"/>
        </w:rPr>
        <w:t xml:space="preserve"> </w:t>
      </w:r>
      <w:r w:rsidR="00B571AB">
        <w:rPr>
          <w:rFonts w:ascii="Arial" w:hAnsi="Arial" w:cs="Arial"/>
          <w:color w:val="00B050"/>
          <w:sz w:val="22"/>
          <w:szCs w:val="22"/>
        </w:rPr>
        <w:t xml:space="preserve">kohta. </w:t>
      </w:r>
    </w:p>
    <w:p w14:paraId="6549DB3F" w14:textId="77777777" w:rsidR="001F18E6" w:rsidRPr="00187417" w:rsidRDefault="001F18E6" w:rsidP="00C6733E">
      <w:pPr>
        <w:rPr>
          <w:rFonts w:ascii="Arial" w:hAnsi="Arial" w:cs="Arial"/>
          <w:sz w:val="22"/>
          <w:szCs w:val="22"/>
        </w:rPr>
      </w:pPr>
    </w:p>
    <w:p w14:paraId="4FFF8D75" w14:textId="77777777" w:rsidR="00256187" w:rsidRPr="00187417" w:rsidRDefault="00256187" w:rsidP="00C6733E">
      <w:pPr>
        <w:numPr>
          <w:ilvl w:val="0"/>
          <w:numId w:val="17"/>
        </w:numPr>
        <w:ind w:left="357" w:hanging="357"/>
        <w:rPr>
          <w:rFonts w:ascii="Arial" w:hAnsi="Arial" w:cs="Arial"/>
          <w:sz w:val="22"/>
          <w:szCs w:val="22"/>
        </w:rPr>
      </w:pPr>
      <w:r w:rsidRPr="00187417">
        <w:rPr>
          <w:rFonts w:ascii="Arial" w:hAnsi="Arial" w:cs="Arial"/>
          <w:sz w:val="22"/>
          <w:szCs w:val="22"/>
        </w:rPr>
        <w:t>TTJA ja Päästeameti igakordne kooskõlastus ei ole põhjendatud ja tuleb välja jätta või siis Sadamapidaja (ehk Eesti Varude Keskus) peaks sellise hinnangu juba praegu ära küsima, arvestades, et TTJA ja Päästeametil on vastamiseks 90 päeva. See hinnang on eelduseks, et saaks üldse liitumistaotluse esitada. Ehk teisisõnu. Kuna on fakt, et tegemist on suurõnnetuse riskiga objektiga, mida ei pea igakordselt üle kinnitama, siis peavad kõik selliste riskidega seotud kaardid ja analüüsid olema eelnevalt tehtud ning neid ei peaks olema vajadus igakordselt teha. Nii ei saaks ju sadamad toimida.</w:t>
      </w:r>
    </w:p>
    <w:p w14:paraId="1CEAFD23" w14:textId="77777777" w:rsidR="00256187" w:rsidRDefault="00256187" w:rsidP="009A5F33">
      <w:pPr>
        <w:pStyle w:val="BodyText"/>
        <w:rPr>
          <w:rFonts w:cs="Arial"/>
          <w:color w:val="0C2B4B"/>
          <w:sz w:val="22"/>
          <w:szCs w:val="22"/>
          <w:lang w:val="et-EE"/>
        </w:rPr>
      </w:pPr>
    </w:p>
    <w:p w14:paraId="1DBF1C05" w14:textId="77777777" w:rsidR="00B571AB" w:rsidRDefault="00B571AB" w:rsidP="00B571AB">
      <w:pPr>
        <w:rPr>
          <w:rFonts w:ascii="Arial" w:hAnsi="Arial" w:cs="Arial"/>
          <w:color w:val="00B050"/>
          <w:sz w:val="22"/>
          <w:szCs w:val="22"/>
        </w:rPr>
      </w:pPr>
      <w:r w:rsidRPr="00C6733E">
        <w:rPr>
          <w:rFonts w:ascii="Arial" w:hAnsi="Arial" w:cs="Arial"/>
          <w:color w:val="00B050"/>
          <w:sz w:val="22"/>
          <w:szCs w:val="22"/>
        </w:rPr>
        <w:lastRenderedPageBreak/>
        <w:t>Eleringi vastus:</w:t>
      </w:r>
    </w:p>
    <w:p w14:paraId="7A9114F2" w14:textId="1D083401" w:rsidR="00C4339A" w:rsidRDefault="00B571AB" w:rsidP="00C4339A">
      <w:pPr>
        <w:jc w:val="both"/>
        <w:rPr>
          <w:rFonts w:ascii="Arial" w:hAnsi="Arial" w:cs="Arial"/>
          <w:color w:val="00B050"/>
          <w:sz w:val="22"/>
          <w:szCs w:val="22"/>
        </w:rPr>
      </w:pPr>
      <w:r>
        <w:rPr>
          <w:rFonts w:ascii="Arial" w:hAnsi="Arial" w:cs="Arial"/>
          <w:color w:val="00B050"/>
          <w:sz w:val="22"/>
          <w:szCs w:val="22"/>
        </w:rPr>
        <w:t xml:space="preserve">Selgitame, </w:t>
      </w:r>
      <w:r w:rsidR="00C4339A">
        <w:rPr>
          <w:rFonts w:ascii="Arial" w:hAnsi="Arial" w:cs="Arial"/>
          <w:color w:val="00B050"/>
          <w:sz w:val="22"/>
          <w:szCs w:val="22"/>
        </w:rPr>
        <w:t xml:space="preserve">et </w:t>
      </w:r>
      <w:r w:rsidR="00C4339A">
        <w:rPr>
          <w:rFonts w:ascii="Arial" w:hAnsi="Arial" w:cs="Arial"/>
          <w:color w:val="00B050"/>
          <w:sz w:val="22"/>
          <w:szCs w:val="22"/>
        </w:rPr>
        <w:t xml:space="preserve">Elering ei saa loobuda Päästeameti ja TTJA hinnangu saamise kohustusest põhjusel, et </w:t>
      </w:r>
      <w:r w:rsidR="00C4339A">
        <w:rPr>
          <w:rFonts w:ascii="Arial" w:hAnsi="Arial" w:cs="Arial"/>
          <w:color w:val="00B050"/>
          <w:sz w:val="22"/>
          <w:szCs w:val="22"/>
        </w:rPr>
        <w:t xml:space="preserve">see tuleneb sadamaseadusest </w:t>
      </w:r>
      <w:r w:rsidR="00EF052B">
        <w:rPr>
          <w:rFonts w:ascii="Arial" w:hAnsi="Arial" w:cs="Arial"/>
          <w:color w:val="00B050"/>
          <w:sz w:val="22"/>
          <w:szCs w:val="22"/>
        </w:rPr>
        <w:t>ja kemikaaliseadusest</w:t>
      </w:r>
      <w:r w:rsidR="00C4339A">
        <w:rPr>
          <w:rFonts w:ascii="Arial" w:hAnsi="Arial" w:cs="Arial"/>
          <w:color w:val="00B050"/>
          <w:sz w:val="22"/>
          <w:szCs w:val="22"/>
        </w:rPr>
        <w:t xml:space="preserve">. </w:t>
      </w:r>
    </w:p>
    <w:p w14:paraId="558E4D12" w14:textId="09A1F541" w:rsidR="00B571AB" w:rsidRPr="00B571AB" w:rsidRDefault="00EF052B" w:rsidP="00C4339A">
      <w:pPr>
        <w:jc w:val="both"/>
        <w:rPr>
          <w:rFonts w:ascii="Arial" w:hAnsi="Arial" w:cs="Arial"/>
          <w:color w:val="00B050"/>
          <w:spacing w:val="-5"/>
          <w:sz w:val="22"/>
          <w:szCs w:val="22"/>
          <w:lang w:eastAsia="en-US"/>
        </w:rPr>
      </w:pPr>
      <w:r>
        <w:rPr>
          <w:rFonts w:ascii="Arial" w:hAnsi="Arial" w:cs="Arial"/>
          <w:color w:val="00B050"/>
          <w:sz w:val="22"/>
          <w:szCs w:val="22"/>
        </w:rPr>
        <w:t>Omalt poolt lisame</w:t>
      </w:r>
      <w:r w:rsidR="00C4339A">
        <w:rPr>
          <w:rFonts w:ascii="Arial" w:hAnsi="Arial" w:cs="Arial"/>
          <w:color w:val="00B050"/>
          <w:sz w:val="22"/>
          <w:szCs w:val="22"/>
        </w:rPr>
        <w:t xml:space="preserve">, et </w:t>
      </w:r>
      <w:r w:rsidR="00CF3DE3">
        <w:rPr>
          <w:rFonts w:ascii="Arial" w:hAnsi="Arial" w:cs="Arial"/>
          <w:color w:val="00B050"/>
          <w:sz w:val="22"/>
          <w:szCs w:val="22"/>
        </w:rPr>
        <w:t>TTJA ja Päästeameti hinnangu</w:t>
      </w:r>
      <w:r w:rsidR="00561FA2">
        <w:rPr>
          <w:rFonts w:ascii="Arial" w:hAnsi="Arial" w:cs="Arial"/>
          <w:color w:val="00B050"/>
          <w:sz w:val="22"/>
          <w:szCs w:val="22"/>
        </w:rPr>
        <w:t>t</w:t>
      </w:r>
      <w:r w:rsidR="00CF3DE3">
        <w:rPr>
          <w:rFonts w:ascii="Arial" w:hAnsi="Arial" w:cs="Arial"/>
          <w:color w:val="00B050"/>
          <w:sz w:val="22"/>
          <w:szCs w:val="22"/>
        </w:rPr>
        <w:t xml:space="preserve"> on võimalik küsida enne liitumistaotluse esitamist</w:t>
      </w:r>
      <w:r w:rsidR="004A209C">
        <w:rPr>
          <w:rFonts w:ascii="Arial" w:hAnsi="Arial" w:cs="Arial"/>
          <w:color w:val="00B050"/>
          <w:sz w:val="22"/>
          <w:szCs w:val="22"/>
        </w:rPr>
        <w:t xml:space="preserve">, kas konkreetsele laevale või laeva tüüpidele. </w:t>
      </w:r>
      <w:r w:rsidR="00851774">
        <w:rPr>
          <w:rFonts w:ascii="Arial" w:hAnsi="Arial" w:cs="Arial"/>
          <w:color w:val="00B050"/>
          <w:sz w:val="22"/>
          <w:szCs w:val="22"/>
        </w:rPr>
        <w:t>Seega juhul, kui TTJA ja Päästeamet väljastavad hinna</w:t>
      </w:r>
      <w:r w:rsidR="00C4339A">
        <w:rPr>
          <w:rFonts w:ascii="Arial" w:hAnsi="Arial" w:cs="Arial"/>
          <w:color w:val="00B050"/>
          <w:sz w:val="22"/>
          <w:szCs w:val="22"/>
        </w:rPr>
        <w:t>n</w:t>
      </w:r>
      <w:r w:rsidR="00851774">
        <w:rPr>
          <w:rFonts w:ascii="Arial" w:hAnsi="Arial" w:cs="Arial"/>
          <w:color w:val="00B050"/>
          <w:sz w:val="22"/>
          <w:szCs w:val="22"/>
        </w:rPr>
        <w:t>g</w:t>
      </w:r>
      <w:r w:rsidR="00561FA2">
        <w:rPr>
          <w:rFonts w:ascii="Arial" w:hAnsi="Arial" w:cs="Arial"/>
          <w:color w:val="00B050"/>
          <w:sz w:val="22"/>
          <w:szCs w:val="22"/>
        </w:rPr>
        <w:t>u</w:t>
      </w:r>
      <w:r w:rsidR="00851774">
        <w:rPr>
          <w:rFonts w:ascii="Arial" w:hAnsi="Arial" w:cs="Arial"/>
          <w:color w:val="00B050"/>
          <w:sz w:val="22"/>
          <w:szCs w:val="22"/>
        </w:rPr>
        <w:t xml:space="preserve"> laeva tüüpidele ning ei kehtesta nõuet, et hinnang tuleb küsida iga konkreetse laeva kohta eraldi, siis on liitujal võimalik p</w:t>
      </w:r>
      <w:r w:rsidR="004A209C">
        <w:rPr>
          <w:rFonts w:ascii="Arial" w:hAnsi="Arial" w:cs="Arial"/>
          <w:color w:val="00B050"/>
          <w:sz w:val="22"/>
          <w:szCs w:val="22"/>
        </w:rPr>
        <w:t xml:space="preserve">ärast esmakordse hinnangu saamist </w:t>
      </w:r>
      <w:r w:rsidR="00851774">
        <w:rPr>
          <w:rFonts w:ascii="Arial" w:hAnsi="Arial" w:cs="Arial"/>
          <w:color w:val="00B050"/>
          <w:sz w:val="22"/>
          <w:szCs w:val="22"/>
        </w:rPr>
        <w:t xml:space="preserve">kasutada </w:t>
      </w:r>
      <w:r w:rsidR="00C4339A">
        <w:rPr>
          <w:rFonts w:ascii="Arial" w:hAnsi="Arial" w:cs="Arial"/>
          <w:color w:val="00B050"/>
          <w:sz w:val="22"/>
          <w:szCs w:val="22"/>
        </w:rPr>
        <w:t xml:space="preserve">juba </w:t>
      </w:r>
      <w:r w:rsidR="00851774">
        <w:rPr>
          <w:rFonts w:ascii="Arial" w:hAnsi="Arial" w:cs="Arial"/>
          <w:color w:val="00B050"/>
          <w:sz w:val="22"/>
          <w:szCs w:val="22"/>
        </w:rPr>
        <w:t xml:space="preserve">eelnevalt väljastatud hinnangut. </w:t>
      </w:r>
    </w:p>
    <w:p w14:paraId="64F9C75B" w14:textId="6B6C4F97" w:rsidR="00C6733E" w:rsidRDefault="00C6733E" w:rsidP="009A5F33">
      <w:pPr>
        <w:pStyle w:val="BodyText"/>
        <w:rPr>
          <w:rFonts w:cs="Arial"/>
          <w:color w:val="0C2B4B"/>
          <w:sz w:val="22"/>
          <w:szCs w:val="22"/>
          <w:lang w:val="et-EE"/>
        </w:rPr>
      </w:pPr>
    </w:p>
    <w:p w14:paraId="16682A9E" w14:textId="32593E15" w:rsidR="00C6733E" w:rsidRPr="00872E3A" w:rsidRDefault="00C6733E" w:rsidP="00C6733E">
      <w:pPr>
        <w:rPr>
          <w:rFonts w:ascii="Arial" w:hAnsi="Arial" w:cs="Arial"/>
          <w:b/>
          <w:bCs/>
          <w:sz w:val="32"/>
          <w:szCs w:val="32"/>
          <w:u w:val="single"/>
        </w:rPr>
      </w:pPr>
      <w:r w:rsidRPr="00872E3A">
        <w:rPr>
          <w:rFonts w:ascii="Arial" w:hAnsi="Arial" w:cs="Arial"/>
          <w:b/>
          <w:bCs/>
          <w:sz w:val="32"/>
          <w:szCs w:val="32"/>
          <w:u w:val="single"/>
        </w:rPr>
        <w:t xml:space="preserve">Turuosaline </w:t>
      </w:r>
      <w:r>
        <w:rPr>
          <w:rFonts w:ascii="Arial" w:hAnsi="Arial" w:cs="Arial"/>
          <w:b/>
          <w:bCs/>
          <w:sz w:val="32"/>
          <w:szCs w:val="32"/>
          <w:u w:val="single"/>
        </w:rPr>
        <w:t>2</w:t>
      </w:r>
    </w:p>
    <w:p w14:paraId="0C8C053A" w14:textId="77777777" w:rsidR="00C6733E" w:rsidRDefault="00C6733E" w:rsidP="009A5F33">
      <w:pPr>
        <w:pStyle w:val="BodyText"/>
        <w:rPr>
          <w:rFonts w:cs="Arial"/>
          <w:color w:val="0C2B4B"/>
          <w:sz w:val="22"/>
          <w:szCs w:val="22"/>
          <w:lang w:val="et-EE"/>
        </w:rPr>
      </w:pPr>
    </w:p>
    <w:p w14:paraId="45A7DFA8" w14:textId="38D0969C" w:rsidR="00C4339A" w:rsidRPr="00C4339A" w:rsidRDefault="00C4339A" w:rsidP="009A5F33">
      <w:pPr>
        <w:pStyle w:val="BodyText"/>
        <w:rPr>
          <w:rFonts w:cs="Arial"/>
          <w:sz w:val="22"/>
          <w:szCs w:val="22"/>
          <w:lang w:val="et-EE"/>
        </w:rPr>
      </w:pPr>
      <w:r>
        <w:rPr>
          <w:rFonts w:cs="Arial"/>
          <w:sz w:val="22"/>
          <w:szCs w:val="22"/>
          <w:lang w:val="et-EE"/>
        </w:rPr>
        <w:t xml:space="preserve">Turuosalise 2 poolt esitatud </w:t>
      </w:r>
      <w:r w:rsidR="00887B31">
        <w:rPr>
          <w:rFonts w:cs="Arial"/>
          <w:sz w:val="22"/>
          <w:szCs w:val="22"/>
          <w:lang w:val="et-EE"/>
        </w:rPr>
        <w:t>kommentaarid on peamiselt Pakrineeme liitumistingimuste kehtestamise õigusliku regulatsiooni kohta</w:t>
      </w:r>
      <w:r w:rsidR="00EF052B">
        <w:rPr>
          <w:rFonts w:cs="Arial"/>
          <w:sz w:val="22"/>
          <w:szCs w:val="22"/>
          <w:lang w:val="et-EE"/>
        </w:rPr>
        <w:t>:</w:t>
      </w:r>
    </w:p>
    <w:p w14:paraId="60BD69C4"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1.</w:t>
      </w:r>
      <w:r w:rsidRPr="001F18E6">
        <w:rPr>
          <w:rFonts w:cs="Arial"/>
          <w:sz w:val="22"/>
          <w:szCs w:val="22"/>
          <w:lang w:val="et-EE"/>
        </w:rPr>
        <w:t xml:space="preserve"> Nagu ka Konkurentsiameti memos on välja toodud, siis MGS-is esitatud termini „terminal“ määratlus tugineb direktiivi 2009/73/EÜ art 2 punktis 11 toodud maagaasi veeldusjaama terminile ja otsekohalduva määruse (EÜ) 715/2009 art 2 punktis 24 toodud maagaasi veeldusjaama võimekuse määratlustele. Esitame siinkohal asjakohased sätted:</w:t>
      </w:r>
    </w:p>
    <w:p w14:paraId="6375F6DE" w14:textId="77777777" w:rsidR="009A5F33" w:rsidRPr="001F18E6" w:rsidRDefault="009A5F33" w:rsidP="009A5F33">
      <w:pPr>
        <w:pStyle w:val="BodyText"/>
        <w:rPr>
          <w:rFonts w:cs="Arial"/>
          <w:sz w:val="22"/>
          <w:szCs w:val="22"/>
          <w:u w:val="single"/>
          <w:lang w:val="et-EE"/>
        </w:rPr>
      </w:pPr>
      <w:r w:rsidRPr="001F18E6">
        <w:rPr>
          <w:rFonts w:cs="Arial"/>
          <w:sz w:val="22"/>
          <w:szCs w:val="22"/>
          <w:u w:val="single"/>
          <w:lang w:val="et-EE"/>
        </w:rPr>
        <w:t>MGS § 2 p-d 13 ja 14:</w:t>
      </w:r>
    </w:p>
    <w:p w14:paraId="0FF1A6A6" w14:textId="77777777" w:rsidR="009A5F33" w:rsidRPr="001F18E6" w:rsidRDefault="009A5F33" w:rsidP="009A5F33">
      <w:pPr>
        <w:pStyle w:val="BodyText"/>
        <w:rPr>
          <w:rFonts w:cs="Arial"/>
          <w:sz w:val="22"/>
          <w:szCs w:val="22"/>
        </w:rPr>
      </w:pPr>
      <w:r w:rsidRPr="001F18E6">
        <w:rPr>
          <w:rFonts w:cs="Arial"/>
          <w:sz w:val="22"/>
          <w:szCs w:val="22"/>
        </w:rPr>
        <w:t>”13) veeldatud gaasi terminal on gaasi veeldamiseks või impordiks, mahalaadimiseks ja veeldatud gaasi taasgaasistamiseks kasutatav rajatis koos selle juurde kuuluvate tugiteenustega. Veeldatud gaasi terminali hulka ei arvata gaasihoidlaid;”.</w:t>
      </w:r>
    </w:p>
    <w:p w14:paraId="5276811F" w14:textId="77777777" w:rsidR="009A5F33" w:rsidRPr="001F18E6" w:rsidRDefault="009A5F33" w:rsidP="009A5F33">
      <w:pPr>
        <w:pStyle w:val="BodyText"/>
        <w:rPr>
          <w:rFonts w:cs="Arial"/>
          <w:sz w:val="22"/>
          <w:szCs w:val="22"/>
          <w:u w:val="single"/>
          <w:lang w:val="et-EE"/>
        </w:rPr>
      </w:pPr>
      <w:r w:rsidRPr="001F18E6">
        <w:rPr>
          <w:rFonts w:cs="Arial"/>
          <w:sz w:val="22"/>
          <w:szCs w:val="22"/>
          <w:u w:val="single"/>
          <w:lang w:val="et-EE"/>
        </w:rPr>
        <w:t>Direktiiv 2009/73/EÜ art 2 punkt 11:</w:t>
      </w:r>
    </w:p>
    <w:p w14:paraId="0396EE3E" w14:textId="77777777" w:rsidR="009A5F33" w:rsidRPr="001F18E6" w:rsidRDefault="009A5F33" w:rsidP="009A5F33">
      <w:pPr>
        <w:pStyle w:val="BodyText"/>
        <w:rPr>
          <w:rFonts w:cs="Arial"/>
          <w:sz w:val="22"/>
          <w:szCs w:val="22"/>
          <w:lang w:val="et-EE"/>
        </w:rPr>
      </w:pPr>
      <w:r w:rsidRPr="001F18E6">
        <w:rPr>
          <w:rFonts w:cs="Arial"/>
          <w:sz w:val="22"/>
          <w:szCs w:val="22"/>
          <w:lang w:val="et-EE"/>
        </w:rPr>
        <w:t>„11) „maagaasi veeldusjaam” – terminal, mida kasutatakse maagaasi veeldamiseks või veeldatud maagaasi impordiks, mahalaadimiseks ja taasgaasistamiseks, kaasa arvatud taasgaasistamiseks ja selle järel ülekandesüsteemi toimetamiseks vajalikud abiteenused ja ajutised hoidlad, kuid välja arvatud kõik hoidlatena kasutatavad veeldatud maagaasiterminalide osad;“</w:t>
      </w:r>
    </w:p>
    <w:p w14:paraId="084266AC" w14:textId="77777777" w:rsidR="009A5F33" w:rsidRPr="001F18E6" w:rsidRDefault="009A5F33" w:rsidP="009A5F33">
      <w:pPr>
        <w:pStyle w:val="BodyText"/>
        <w:rPr>
          <w:rFonts w:cs="Arial"/>
          <w:sz w:val="22"/>
          <w:szCs w:val="22"/>
          <w:u w:val="single"/>
          <w:lang w:val="et-EE"/>
        </w:rPr>
      </w:pPr>
      <w:r w:rsidRPr="001F18E6">
        <w:rPr>
          <w:rFonts w:cs="Arial"/>
          <w:sz w:val="22"/>
          <w:szCs w:val="22"/>
          <w:u w:val="single"/>
          <w:lang w:val="et-EE"/>
        </w:rPr>
        <w:t>Määrus (EÜ) 715/2009 art 2 punkt 24:</w:t>
      </w:r>
    </w:p>
    <w:p w14:paraId="4C99D71F" w14:textId="77777777" w:rsidR="009A5F33" w:rsidRPr="001F18E6" w:rsidRDefault="009A5F33" w:rsidP="009A5F33">
      <w:pPr>
        <w:pStyle w:val="BodyText"/>
        <w:rPr>
          <w:rFonts w:cs="Arial"/>
          <w:sz w:val="22"/>
          <w:szCs w:val="22"/>
          <w:lang w:val="et-EE"/>
        </w:rPr>
      </w:pPr>
      <w:r w:rsidRPr="001F18E6">
        <w:rPr>
          <w:rFonts w:cs="Arial"/>
          <w:sz w:val="22"/>
          <w:szCs w:val="22"/>
          <w:lang w:val="et-EE"/>
        </w:rPr>
        <w:t>„24) „maagaasi veeldusjaama võimsus” – sellise terminali võimsus, mida kasutatakse maagaasi veeldamiseks või veeldatud maagaasi impordiks, mahalaadimiseks, abiteenusteks, ajutiseks hoiustamiseks ja taasgaasistamiseks;“.</w:t>
      </w:r>
    </w:p>
    <w:p w14:paraId="2AB3AA27" w14:textId="77777777" w:rsidR="009A5F33" w:rsidRPr="001F18E6" w:rsidRDefault="009A5F33" w:rsidP="009A5F33">
      <w:pPr>
        <w:pStyle w:val="BodyText"/>
        <w:rPr>
          <w:rFonts w:cs="Arial"/>
          <w:sz w:val="22"/>
          <w:szCs w:val="22"/>
          <w:u w:val="single"/>
          <w:lang w:val="et-EE"/>
        </w:rPr>
      </w:pPr>
      <w:r w:rsidRPr="001F18E6">
        <w:rPr>
          <w:rFonts w:cs="Arial"/>
          <w:sz w:val="22"/>
          <w:szCs w:val="22"/>
          <w:lang w:val="et-EE"/>
        </w:rPr>
        <w:t xml:space="preserve">Lisaks toome välja </w:t>
      </w:r>
      <w:r w:rsidRPr="001F18E6">
        <w:rPr>
          <w:rFonts w:cs="Arial"/>
          <w:sz w:val="22"/>
          <w:szCs w:val="22"/>
          <w:u w:val="single"/>
          <w:lang w:val="et-EE"/>
        </w:rPr>
        <w:t>määruse (EL) 2024/1789 art 2 punkti 25:</w:t>
      </w:r>
    </w:p>
    <w:p w14:paraId="37F60C7D" w14:textId="77777777" w:rsidR="009A5F33" w:rsidRPr="001F18E6" w:rsidRDefault="009A5F33" w:rsidP="009A5F33">
      <w:pPr>
        <w:pStyle w:val="BodyText"/>
        <w:rPr>
          <w:rFonts w:cs="Arial"/>
          <w:sz w:val="22"/>
          <w:szCs w:val="22"/>
          <w:lang w:val="et-EE"/>
        </w:rPr>
      </w:pPr>
      <w:r w:rsidRPr="001F18E6">
        <w:rPr>
          <w:rFonts w:cs="Arial"/>
          <w:sz w:val="22"/>
          <w:szCs w:val="22"/>
          <w:lang w:val="et-EE"/>
        </w:rPr>
        <w:t>„25) „maagaasi veeldusjaama võimsus“ – sellise veeldatud maagaasi terminali võimsus, mida kasutatakse maagaasi veeldamiseks või veeldatud maagaasi impordiks, mahalaadimiseks, abiteenusteks, ajutiseks hoiustamiseks ja taasgaasistamiseks;“.</w:t>
      </w:r>
    </w:p>
    <w:p w14:paraId="2D159FD3" w14:textId="77777777" w:rsidR="009A5F33" w:rsidRPr="001F18E6" w:rsidRDefault="009A5F33" w:rsidP="009A5F33">
      <w:pPr>
        <w:pStyle w:val="BodyText"/>
        <w:rPr>
          <w:rFonts w:cs="Arial"/>
          <w:sz w:val="22"/>
          <w:szCs w:val="22"/>
          <w:lang w:val="et-EE"/>
        </w:rPr>
      </w:pPr>
      <w:r w:rsidRPr="001F18E6">
        <w:rPr>
          <w:rFonts w:cs="Arial"/>
          <w:sz w:val="22"/>
          <w:szCs w:val="22"/>
          <w:lang w:val="et-EE"/>
        </w:rPr>
        <w:t xml:space="preserve">Nagu näha, ükski nimetatud määratlustest ei sätesta minimaalset kasutusaega ega mahalaadimiste sagedust, et kindlaks määrata kas FSRU on terminal või mitte. </w:t>
      </w:r>
      <w:r w:rsidRPr="001F18E6">
        <w:rPr>
          <w:rFonts w:cs="Arial"/>
          <w:b/>
          <w:bCs/>
          <w:sz w:val="22"/>
          <w:szCs w:val="22"/>
          <w:lang w:val="et-EE"/>
        </w:rPr>
        <w:t xml:space="preserve">Määruse (EL) 2024/1789 artikli 2 punkti 42 ja MGS § 13 kohaselt on LNG terminalid maagaasisüsteemi osaks ja direktiivi ning määruse definitsioonid pigem toetavad terminaliks olemist ka ajutise kasutamise puhul. </w:t>
      </w:r>
    </w:p>
    <w:p w14:paraId="10492FE6"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62BF442C"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lastRenderedPageBreak/>
        <w:t xml:space="preserve">Eleringi arvates on Konkurentsiamet oma analüüsis toonud välja asjakohased õiguslikud kaalutlused ja järeldused ning Elering rõhutab sellele lisaks omalt poolt järgmist. (Kuigi </w:t>
      </w:r>
      <w:bookmarkStart w:id="0" w:name="_Hlk195803839"/>
      <w:r w:rsidRPr="00413B19">
        <w:rPr>
          <w:rFonts w:ascii="Arial" w:hAnsi="Arial" w:cs="Arial"/>
          <w:color w:val="00B050"/>
          <w:sz w:val="22"/>
          <w:szCs w:val="22"/>
        </w:rPr>
        <w:t xml:space="preserve">direktiivi 2009/73 </w:t>
      </w:r>
      <w:bookmarkEnd w:id="0"/>
      <w:r w:rsidRPr="00413B19">
        <w:rPr>
          <w:rFonts w:ascii="Arial" w:hAnsi="Arial" w:cs="Arial"/>
          <w:color w:val="00B050"/>
          <w:sz w:val="22"/>
          <w:szCs w:val="22"/>
        </w:rPr>
        <w:t xml:space="preserve">järgse direktiivi 2024/1788 ülevõtmine Eesti õigusesse on pooleli, lähtume järgnevalt ka selles toodud mõistest, kuna need baseeruvad täna kehtiva õiguse sõnastustel). </w:t>
      </w:r>
    </w:p>
    <w:p w14:paraId="5EA73FF9" w14:textId="77777777" w:rsidR="009A5F33" w:rsidRPr="00413B19" w:rsidRDefault="009A5F33" w:rsidP="009A5F33">
      <w:pPr>
        <w:jc w:val="both"/>
        <w:rPr>
          <w:rFonts w:ascii="Arial" w:hAnsi="Arial" w:cs="Arial"/>
          <w:color w:val="00B050"/>
          <w:sz w:val="22"/>
          <w:szCs w:val="22"/>
        </w:rPr>
      </w:pPr>
    </w:p>
    <w:p w14:paraId="514E1430" w14:textId="77777777" w:rsidR="009A5F33" w:rsidRPr="00413B19" w:rsidRDefault="009A5F33" w:rsidP="009A5F33">
      <w:pPr>
        <w:jc w:val="both"/>
        <w:rPr>
          <w:rFonts w:ascii="Arial" w:hAnsi="Arial" w:cs="Arial"/>
          <w:color w:val="00B050"/>
          <w:sz w:val="22"/>
          <w:szCs w:val="22"/>
        </w:rPr>
      </w:pPr>
      <w:bookmarkStart w:id="1" w:name="_Hlk195801910"/>
      <w:r w:rsidRPr="00413B19">
        <w:rPr>
          <w:rFonts w:ascii="Arial" w:hAnsi="Arial" w:cs="Arial"/>
          <w:color w:val="00B050"/>
          <w:sz w:val="22"/>
          <w:szCs w:val="22"/>
        </w:rPr>
        <w:t>Direktiiv 2024/1788 art 2 p 33 direktiivi 2009/73 art 2 p 11</w:t>
      </w:r>
    </w:p>
    <w:bookmarkEnd w:id="1"/>
    <w:p w14:paraId="3B696262"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33) maagaasi veeldusjaam – terminal, mida kasutatakse maagaasi veeldamiseks või veeldatud maagaasi impordiks, mahalaadimiseks ja taasgaasistamiseks, kaasa arvatud taasgaasistamiseks ja selle järel ülekandesüsteemi toimetamiseks vajalikud abiteenused ja ajutised hoidlad, kuid välja arvatud kõik hoidlatena kasutatavad veeldatud maagaasi terminalide osad;</w:t>
      </w:r>
    </w:p>
    <w:p w14:paraId="54F0277C" w14:textId="77777777" w:rsidR="009A5F33" w:rsidRPr="00413B19" w:rsidRDefault="009A5F33" w:rsidP="009A5F33">
      <w:pPr>
        <w:jc w:val="both"/>
        <w:rPr>
          <w:rFonts w:ascii="Arial" w:hAnsi="Arial" w:cs="Arial"/>
          <w:color w:val="00B050"/>
          <w:sz w:val="22"/>
          <w:szCs w:val="22"/>
        </w:rPr>
      </w:pPr>
    </w:p>
    <w:p w14:paraId="1C27B0BE"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MGS § 2 p 13</w:t>
      </w:r>
    </w:p>
    <w:p w14:paraId="39B423B1"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13) veeldatud gaasi terminal on gaasi veeldamiseks või impordiks, mahalaadimiseks ja veeldatud gaasi taasgaasistamiseks kasutatav rajatis koos selle juurde kuuluvate tugiteenustega. Veeldatud gaasi terminali hulka ei arvata gaasihoidlaid;</w:t>
      </w:r>
    </w:p>
    <w:p w14:paraId="4ECA1FC2" w14:textId="77777777" w:rsidR="009A5F33" w:rsidRPr="00413B19" w:rsidRDefault="009A5F33" w:rsidP="009A5F33">
      <w:pPr>
        <w:jc w:val="both"/>
        <w:rPr>
          <w:rFonts w:ascii="Arial" w:hAnsi="Arial" w:cs="Arial"/>
          <w:color w:val="00B050"/>
          <w:sz w:val="22"/>
          <w:szCs w:val="22"/>
        </w:rPr>
      </w:pPr>
    </w:p>
    <w:p w14:paraId="3B3122E1"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Direktiiv 2024/1788 art 2 p 36 järgi on abiteenusteks kõik teenused, mida on vaja juurdepääsuks ja käitamiseks maagaasi veeldusjaamadele. Pakrineeme liitumistingimuste aluse liitumise puhul MGS-is sätestatud gaasi terminali halduri ülesandeid ei täideta. Sealhulgas ei töötata välja ega kooskõlastata terminali kasutamise lepingu tüüptingimusi ega tariifide arvutamise metoodikat Konkurentsiametiga.</w:t>
      </w:r>
    </w:p>
    <w:p w14:paraId="6713DD90" w14:textId="77777777" w:rsidR="009A5F33" w:rsidRPr="00413B19" w:rsidRDefault="009A5F33" w:rsidP="009A5F33">
      <w:pPr>
        <w:jc w:val="both"/>
        <w:rPr>
          <w:rFonts w:ascii="Arial" w:hAnsi="Arial" w:cs="Arial"/>
          <w:color w:val="00B050"/>
          <w:sz w:val="22"/>
          <w:szCs w:val="22"/>
        </w:rPr>
      </w:pPr>
    </w:p>
    <w:p w14:paraId="0027D6A0"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Sellest lähtuvalt ei ole õige Elengeri käsitlus, kus MGS ja EL-i õigusaktide kohaselt on väidetavalt  määravaks vaid see, kas FSRU-d kasutatakse maagaasi veeldamiseks, veeldatud maagaasi impordiks, mahalaadimiseks, ajutiseks hoiustamiseks ja taasgaasistamiseks või mitte. Väga selgelt on määravaks asjaoluks ka nii MGS § 2 p 13 kui ka direktiivi 2024/1788 ja 2009/73 mõistete järgi sinna juurde kuuluvate abiteenuste osutamine. Sellest lähtuvalt on Konkurentsiamet oma analüüsis selle asjaolu õigesti välja toonud. </w:t>
      </w:r>
    </w:p>
    <w:p w14:paraId="13616E87" w14:textId="77777777" w:rsidR="009A5F33" w:rsidRPr="00413B19" w:rsidRDefault="009A5F33" w:rsidP="009A5F33">
      <w:pPr>
        <w:jc w:val="both"/>
        <w:rPr>
          <w:rFonts w:ascii="Arial" w:hAnsi="Arial" w:cs="Arial"/>
          <w:color w:val="00B050"/>
          <w:sz w:val="22"/>
          <w:szCs w:val="22"/>
        </w:rPr>
      </w:pPr>
    </w:p>
    <w:p w14:paraId="1BD9DF94"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Elering nõustub Konkurentsiameti analüüsis esitatud käsitlusega, mille kohaselt Konkurentsiameti hinnangul ei ole veeldatud gaasi teenuste ja toodete standardiseerimine EL-i tasandil soovitatav ega ka praegu teostatav ning et Euroopa Liidu liikmesriikidel peaks olema piisavalt paindlikkust ja vabadust valida kõige sobivamad teenused, tooted, juurdepääsu ja jaotamise nõuded </w:t>
      </w:r>
    </w:p>
    <w:p w14:paraId="1062EAE5" w14:textId="77777777" w:rsidR="009A5F33" w:rsidRPr="00413B19" w:rsidRDefault="009A5F33" w:rsidP="009A5F33">
      <w:pPr>
        <w:jc w:val="both"/>
        <w:rPr>
          <w:rFonts w:ascii="Arial" w:hAnsi="Arial" w:cs="Arial"/>
          <w:color w:val="00B050"/>
          <w:sz w:val="22"/>
          <w:szCs w:val="22"/>
        </w:rPr>
      </w:pPr>
    </w:p>
    <w:p w14:paraId="3DDA0CBD"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Eleringi hinnangul ei tulene direktiivist 2009/73 ja tänaseks välja töötatud direktiivist 2024/1788 ja määrusest 2024/1789 keeldu, et gaasi ülekandevõrguga ei võiks liituda nn ühekordselt FSRU oma lasti ülekandevõrku andmiseks ning kuskilt ei ilmne, et asjakohase Euroopa Liidu õiguse mõte oleks selline võimalus siseriiklikult välistada isegi, kui selline mõiste või määratlus Euroopa õiguses puudub. </w:t>
      </w:r>
    </w:p>
    <w:p w14:paraId="71277551" w14:textId="77777777" w:rsidR="009A5F33" w:rsidRPr="00413B19" w:rsidRDefault="009A5F33" w:rsidP="009A5F33">
      <w:pPr>
        <w:jc w:val="both"/>
        <w:rPr>
          <w:rFonts w:ascii="Arial" w:hAnsi="Arial" w:cs="Arial"/>
          <w:color w:val="00B050"/>
          <w:sz w:val="22"/>
          <w:szCs w:val="22"/>
        </w:rPr>
      </w:pPr>
    </w:p>
    <w:p w14:paraId="11CC8948"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Konkurentsiameti analüüsi ja järeldustega on ühtlasi oma 13.05.2024 kirjaliku selgituses nõustunud ka Kliimaministeerium, kes on leidnud, et MGS § 2 p 13 lähtudes kui Pakrineeme sadamasse tuuakse FSRU lühiajaliselt, näiteks kümneks päevaks, mille puhul taasgaasistatakse ja toimetatakse ülekandevõrku ainult üks laadung veeldatud gaasi ning seejärel FSRU lahkub, on tegemist vabaturuteenusega, mitte veeldatud gaasi terminali teenuse osutamisega MGS-i mõistes. </w:t>
      </w:r>
    </w:p>
    <w:p w14:paraId="6EBB5583" w14:textId="77777777" w:rsidR="009A5F33" w:rsidRPr="00413B19" w:rsidRDefault="009A5F33" w:rsidP="009A5F33">
      <w:pPr>
        <w:jc w:val="both"/>
        <w:rPr>
          <w:rFonts w:ascii="Arial" w:hAnsi="Arial" w:cs="Arial"/>
          <w:color w:val="00B050"/>
          <w:sz w:val="22"/>
          <w:szCs w:val="22"/>
        </w:rPr>
      </w:pPr>
    </w:p>
    <w:p w14:paraId="23CC71EF"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Elering viitab, et võrguga liitumise võimaldamise vaatest on MGS § 18 lg 2 järgi Eleringil just vastupidiselt kohustus liita võrgu tehniliste võimaluste piires võrguga kõik võrguettevõtja võrgupiirkonnas asuvad vastava taotluse esitanud isikud, kui sellega ei seata ohtu varasemate liitujate varustuskindlust. Pakrineeme liitumistingimused on välja töötatud seda kohustust  arvestades.</w:t>
      </w:r>
    </w:p>
    <w:p w14:paraId="753BB4AA" w14:textId="77777777" w:rsidR="009A5F33" w:rsidRPr="00413B19" w:rsidRDefault="009A5F33" w:rsidP="009A5F33">
      <w:pPr>
        <w:pStyle w:val="BodyText"/>
        <w:rPr>
          <w:rFonts w:cs="Arial"/>
          <w:color w:val="0C2B4B"/>
          <w:sz w:val="22"/>
          <w:szCs w:val="22"/>
          <w:lang w:val="et-EE"/>
        </w:rPr>
      </w:pPr>
    </w:p>
    <w:p w14:paraId="1D0BD98E" w14:textId="77777777" w:rsidR="009A5F33" w:rsidRPr="001F18E6" w:rsidRDefault="009A5F33" w:rsidP="009A5F33">
      <w:pPr>
        <w:pStyle w:val="BodyText"/>
        <w:rPr>
          <w:rFonts w:cs="Arial"/>
          <w:b/>
          <w:bCs/>
          <w:sz w:val="22"/>
          <w:szCs w:val="22"/>
          <w:lang w:val="et-EE"/>
        </w:rPr>
      </w:pPr>
      <w:r w:rsidRPr="001F18E6">
        <w:rPr>
          <w:rFonts w:cs="Arial"/>
          <w:b/>
          <w:bCs/>
          <w:sz w:val="22"/>
          <w:szCs w:val="22"/>
          <w:lang w:val="et-EE"/>
        </w:rPr>
        <w:t>2.</w:t>
      </w:r>
      <w:r w:rsidRPr="001F18E6">
        <w:rPr>
          <w:rFonts w:cs="Arial"/>
          <w:sz w:val="22"/>
          <w:szCs w:val="22"/>
          <w:lang w:val="et-EE"/>
        </w:rPr>
        <w:t xml:space="preserve"> Liitumistingimuste punkti 1.5 kohaselt ei ole liitumispunktiga ühendatud laevaga lubatud osutada MGS § 17</w:t>
      </w:r>
      <w:r w:rsidRPr="001F18E6">
        <w:rPr>
          <w:rFonts w:cs="Arial"/>
          <w:sz w:val="22"/>
          <w:szCs w:val="22"/>
          <w:vertAlign w:val="superscript"/>
          <w:lang w:val="et-EE"/>
        </w:rPr>
        <w:t>1</w:t>
      </w:r>
      <w:r w:rsidRPr="001F18E6">
        <w:rPr>
          <w:rFonts w:cs="Arial"/>
          <w:sz w:val="22"/>
          <w:szCs w:val="22"/>
          <w:lang w:val="et-EE"/>
        </w:rPr>
        <w:t xml:space="preserve"> tähenduses terminali teenust ja punkti 2.8.3.1 kohaselt liitumisleping lõpeb, kui liitumispunktis osutatakse terminali teenust kolmandatele isikutele. Meie kirja punktis 1 viidatud õigusaktide sätetest ei tulene, et FSRU </w:t>
      </w:r>
      <w:r w:rsidRPr="001F18E6">
        <w:rPr>
          <w:rFonts w:cs="Arial"/>
          <w:sz w:val="22"/>
          <w:szCs w:val="22"/>
          <w:lang w:val="et-EE"/>
        </w:rPr>
        <w:lastRenderedPageBreak/>
        <w:t xml:space="preserve">on terminal vaid juhul, kui sellega tehakse sätetes toodud tegevusi teenusena kolmandatele isikutele. Selline käsitlus võimaldaks LNG terminalide omanikel ja halduritel lihtsate õiguslike vahenditega (näiteks terminali rent taasgaasistamise ajaks LNG omanikule, LNG laenamine terminali omanikule taasgaasistamise ajaks jne) näiliselt tekitada mulje teenuse mitteosutamisest ja mööda hiilida neile õigusaktidega pandud kohustustest, sealhulgas ligipääsetavuskohustustest. </w:t>
      </w:r>
      <w:r w:rsidRPr="001F18E6">
        <w:rPr>
          <w:rFonts w:cs="Arial"/>
          <w:b/>
          <w:bCs/>
          <w:sz w:val="22"/>
          <w:szCs w:val="22"/>
          <w:lang w:val="et-EE"/>
        </w:rPr>
        <w:t>MGS ja EL-i õigusaktide kohaselt on määravaks vaid see, kas FSRU-d kasutatakse maagaasi veeldamiseks, veeldatud maagaasi impordiks, mahalaadimiseks, ajutiseks hoiustamiseks ja taasgaasistamiseks või mitte.</w:t>
      </w:r>
    </w:p>
    <w:p w14:paraId="76B00188"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5937C068" w14:textId="696DA9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 xml:space="preserve">Eleringi poolt esitatud vastus õigusaktide kohta, mille kohaselt abiteenuste osutamine on oluline FSRU terminali käsitluse osast, on toodud punktis 1 esitatud vastuses. Samuti lisame, et pärast liitumislepingu lõppemist ja laeva lahti ühendamist peab turuosaline algatama liitumistingimuste alusel uue liitumisprotsessi ning täitma kõik liitumistingimustes toodud tingimused, sh esitama liitumistaotlusega koos nõutud dokumendid, ning sõlmima „Common Regulations for the Use of Natural Gas Transmission System“ alusel Eesti-Läti ühise gaasitsooni võrgulepingu ja dokumendi „Common Regulations for the Natural Gas Balancing of Transmission System“ alusel bilansilepingu. Samuti peab liituja kooskõlastama laeva paiknemist Pakrineeme sadamas sadamapidajaga. Nimetatud tegevustest lähtuvalt on Eleringi hinnangul tagatud kontrollimise võimalus, kas LNG terminali omanikud või haldurid osutavad terminali teenust või mitte. </w:t>
      </w:r>
    </w:p>
    <w:p w14:paraId="23532E9B" w14:textId="45C3A4B9" w:rsidR="009A5F33" w:rsidRPr="001F18E6" w:rsidRDefault="009A5F33" w:rsidP="009A5F33">
      <w:pPr>
        <w:pStyle w:val="BodyText"/>
        <w:rPr>
          <w:rFonts w:cs="Arial"/>
          <w:sz w:val="22"/>
          <w:szCs w:val="22"/>
          <w:lang w:val="et-EE"/>
        </w:rPr>
      </w:pPr>
      <w:r w:rsidRPr="001F18E6">
        <w:rPr>
          <w:rFonts w:cs="Arial"/>
          <w:b/>
          <w:bCs/>
          <w:sz w:val="22"/>
          <w:szCs w:val="22"/>
          <w:lang w:val="et-EE"/>
        </w:rPr>
        <w:t>3.</w:t>
      </w:r>
      <w:r w:rsidRPr="001F18E6">
        <w:rPr>
          <w:rFonts w:cs="Arial"/>
          <w:sz w:val="22"/>
          <w:szCs w:val="22"/>
          <w:lang w:val="et-EE"/>
        </w:rPr>
        <w:t xml:space="preserve"> Isegi kui jaatada käsitluse, et FSRU ei ole terminal, kui sellega ei osutata kolmandatele isikutele teenust, võimalikkust, tuleks terminaliga teenuste osutamises või mitteosutamises veenduda enne FSRU liitumiseks liitumislepingu sõlmimist. Selleks tuleks Elering AS-il veenduda, et FSRU kuulub liitujale või on muul viisil tagatud, et FSRU-ga LNG importimisel pole tegu teenuse osutamisega. Samuti tuleks veenduda, et FSRU-ga imporditav ja taasgaasistatav LNG kuulub liitujale endale ja siingi pole tegu teenuse osutamisega. </w:t>
      </w:r>
    </w:p>
    <w:p w14:paraId="4868311E" w14:textId="77777777" w:rsidR="009A5F33" w:rsidRPr="001F18E6" w:rsidRDefault="009A5F33" w:rsidP="009A5F33">
      <w:pPr>
        <w:pStyle w:val="BodyText"/>
        <w:rPr>
          <w:rFonts w:cs="Arial"/>
          <w:sz w:val="22"/>
          <w:szCs w:val="22"/>
          <w:lang w:val="et-EE"/>
        </w:rPr>
      </w:pPr>
      <w:r w:rsidRPr="001F18E6">
        <w:rPr>
          <w:rFonts w:cs="Arial"/>
          <w:sz w:val="22"/>
          <w:szCs w:val="22"/>
          <w:lang w:val="et-EE"/>
        </w:rPr>
        <w:t>Pakrineeme liitumistingimustest ei leia ühtegi sätet või kriteeriumi, mille alusel Elering AS saaks sisuliselt veenduda ja otsustada FSRU-ga teenuse osutamise või mitteosutamise üle. Veelgi enam – olete vastuseks meie eelnevatele märkustele selgitanud, et „</w:t>
      </w:r>
      <w:r w:rsidRPr="001F18E6">
        <w:rPr>
          <w:rFonts w:cs="Arial"/>
          <w:i/>
          <w:iCs/>
          <w:sz w:val="22"/>
          <w:szCs w:val="22"/>
          <w:lang w:val="et-EE"/>
        </w:rPr>
        <w:t>Laeva lastis oleva gaasi omandisuhet reguleerib liituja ja laeva omaniku vahel sõlmitud kokkulepe, mida Elering ei saa liitumistingimustega reguleerida. Juhul, kui liituja esitab Eleringile liitumistaotluse ning lepingu sõlmimise hetkel ka tõendava dokumendi, mille alusel liitujal on õigus kolmandale isikule kuuluv laev Pakrineeme sadamas liitumispunktiga ühendada, siis puudub Eleringil alus eeldada, et sisestav gaas ei kuulu liitujale</w:t>
      </w:r>
      <w:r w:rsidRPr="001F18E6">
        <w:rPr>
          <w:rFonts w:cs="Arial"/>
          <w:sz w:val="22"/>
          <w:szCs w:val="22"/>
          <w:lang w:val="et-EE"/>
        </w:rPr>
        <w:t xml:space="preserve">.“ Seega on Elering AS möönnud, et tal puudub võimalus kontrollida, kas liituja näol on tegu terminaliga ja hakatakse eeldama teenuse mitteosutamist. </w:t>
      </w:r>
      <w:r w:rsidRPr="001F18E6">
        <w:rPr>
          <w:rFonts w:cs="Arial"/>
          <w:b/>
          <w:bCs/>
          <w:sz w:val="22"/>
          <w:szCs w:val="22"/>
          <w:lang w:val="et-EE"/>
        </w:rPr>
        <w:t xml:space="preserve">Pakrineeme liitumistingimused peavad välistama terminali liitumise ja seda tuleb kontrollida ja seejuures mitte sõlmitud liitumislepingu või opereerimislepingu täitmise käigus või selle järgselt, vaid enne liitumislepingu sõlmimist. </w:t>
      </w:r>
      <w:r w:rsidRPr="001F18E6">
        <w:rPr>
          <w:rFonts w:cs="Arial"/>
          <w:sz w:val="22"/>
          <w:szCs w:val="22"/>
          <w:lang w:val="et-EE"/>
        </w:rPr>
        <w:t>Ka dokumendi „</w:t>
      </w:r>
      <w:r w:rsidRPr="001F18E6">
        <w:rPr>
          <w:rFonts w:cs="Arial"/>
          <w:i/>
          <w:iCs/>
          <w:sz w:val="22"/>
          <w:szCs w:val="22"/>
          <w:lang w:val="et-EE"/>
        </w:rPr>
        <w:t>Common Regulations for the Use of Natural Gas Transmission System</w:t>
      </w:r>
      <w:r w:rsidRPr="001F18E6">
        <w:rPr>
          <w:rFonts w:cs="Arial"/>
          <w:sz w:val="22"/>
          <w:szCs w:val="22"/>
          <w:lang w:val="et-EE"/>
        </w:rPr>
        <w:t xml:space="preserve">“ punkti 5.5.3 kohaselt peab terminalina tegutsev FSRU pakkuma teenuseid Konkurentsiameti poolt heaks kiidetud tingimuste kohaselt ehk terminali pole võimalik liita vabaturuteenusena käesolevas kirjas käsitletud tingimuste kohaselt. </w:t>
      </w:r>
    </w:p>
    <w:p w14:paraId="5687AC18" w14:textId="77777777" w:rsidR="009A5F33" w:rsidRPr="001F18E6" w:rsidRDefault="009A5F33" w:rsidP="009A5F33">
      <w:pPr>
        <w:pStyle w:val="BodyText"/>
        <w:rPr>
          <w:rFonts w:cs="Arial"/>
          <w:sz w:val="22"/>
          <w:szCs w:val="22"/>
          <w:lang w:val="et-EE"/>
        </w:rPr>
      </w:pPr>
      <w:r w:rsidRPr="001F18E6">
        <w:rPr>
          <w:rFonts w:cs="Arial"/>
          <w:sz w:val="22"/>
          <w:szCs w:val="22"/>
          <w:lang w:val="et-EE"/>
        </w:rPr>
        <w:t xml:space="preserve">Täiendava aspektina toome välja, et selline ajutiste ligipääsudena liitumine on olemuslikult sarnane kavandatavate biometaani sisestuspunktidega, mille opereerimise reeglite välja töötamine on alles algusjärgus. Seejuures Elering AS on juba toonud välja vajaduse läbi mõelda, kuidas tagada sisestajate võrdne kohtlemine sisestamisel. Jääb arusamatuks, miks sarnast lähenemist ei peeta vajalikuks Pakrineeme liitumistingimuste kontekstis ja liitumistingimustega antakse võimalus ajaliselt varem taotlust esitades ühel turuosalisel hõivata kõik võimalikud liitumise ajaperioodid. Kui see turuosaline seejärel ei broneeri ülekandevõimsust, siis on liitumist tegelikult mitte kasutades sellele turuosalisele tekkiv kahju minimaalne võrrelduna võimaliku kahjuga teistele turuosalistele, kellel puudus võimalus esitada samaks ajaks liitumistaotlust. Seejuures, nagu on kogemus näidanud, siis selline võimalus pole mitte ainult teoreetiline, vaid vägagi reaalne. </w:t>
      </w:r>
    </w:p>
    <w:p w14:paraId="4EEE7C9B"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2E2F180F"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lastRenderedPageBreak/>
        <w:t>Teie poolt viidatud punkti 5.5.3 kohaselt peab terminalina tegutsev FSRU pakkuma teenuseid Konkurentsiameti poolt heaks kiidetud tingimuste kohaselt ehk terminali pole võimalik liita vabaturuteenusena käesolevas kirjas käsitletud tingimuste kohaselt.</w:t>
      </w:r>
    </w:p>
    <w:p w14:paraId="18362C85"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 xml:space="preserve">Terminaliteenuse osutamine ei ole võimalik, kuna Elering lepib liitujaga liitumislepingus ja hilisemas võrgulepingus kokku teenuse sisu, sh maksimaalses ülekandevõrku sisestavas võimsuses ja maksimaalses gaasi koguses. Teenuse osutamisel peab liituja Eleringiga sõlmima dokumendi „Common Regulations for the Use of Natural Gas Transmission System“ alusel Eesti-Läti alusel ühise gaasitsooni võrgulepingu ja dokumendi „Common Regulations for the Natural Gas Balancing of Transmission System“ alusel bilansilepingu. </w:t>
      </w:r>
    </w:p>
    <w:p w14:paraId="26A1FBDF"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 xml:space="preserve">Eeltoodud lepingute alusel on Eleringil võimalik jälgida ja kontrollida, kas Pakrineeme liitumistingimuste alusel toimuv FSRU ühekordsel liitumisel järgitakse lepingulisi kokkuleppeid, sh seda, et ei ületata FSRU-sse maksimaalset mahtuvat ja võrku antavat gaasi kogust ning koguste ületamisel on võimalik selline tegevus peatada. </w:t>
      </w:r>
    </w:p>
    <w:p w14:paraId="078BDB26"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 xml:space="preserve">4. </w:t>
      </w:r>
      <w:r w:rsidRPr="001F18E6">
        <w:rPr>
          <w:rFonts w:cs="Arial"/>
          <w:sz w:val="22"/>
          <w:szCs w:val="22"/>
          <w:lang w:val="et-EE"/>
        </w:rPr>
        <w:t>Olete vastuseks meie varasematele märkustele selgitanud, et „</w:t>
      </w:r>
      <w:r w:rsidRPr="001F18E6">
        <w:rPr>
          <w:rFonts w:cs="Arial"/>
          <w:i/>
          <w:iCs/>
          <w:sz w:val="22"/>
          <w:szCs w:val="22"/>
          <w:lang w:val="et-EE"/>
        </w:rPr>
        <w:t>ühekordse liitumise all on mõeldud olukorda, kus liitumisprotsessi raames Pakrineeme liitumispunktiga ühendatud laev võrguühenduse perioodil ei muutu ning gaasivõrku saab sisestada ainult laeva lastis olemasolevat gaasi. Pärast laeva lahti ühendamist loetakse liitumisprotsess lõppenuks. Kliendil on võimalik tulevikus algatada uus liitumisprotsess sama laevaga liitumiseks, kuid kehtima jääb reegel, et liitumispunktis saab sisestada ainult laeva lastis olemasolevat gaasi</w:t>
      </w:r>
      <w:r w:rsidRPr="001F18E6">
        <w:rPr>
          <w:rFonts w:cs="Arial"/>
          <w:sz w:val="22"/>
          <w:szCs w:val="22"/>
          <w:lang w:val="et-EE"/>
        </w:rPr>
        <w:t xml:space="preserve">.“ </w:t>
      </w:r>
    </w:p>
    <w:p w14:paraId="401F6A5C" w14:textId="77777777" w:rsidR="009A5F33" w:rsidRPr="001F18E6" w:rsidRDefault="009A5F33" w:rsidP="009A5F33">
      <w:pPr>
        <w:pStyle w:val="BodyText"/>
        <w:rPr>
          <w:rFonts w:cs="Arial"/>
          <w:b/>
          <w:bCs/>
          <w:sz w:val="22"/>
          <w:szCs w:val="22"/>
          <w:lang w:val="et-EE"/>
        </w:rPr>
      </w:pPr>
      <w:r w:rsidRPr="001F18E6">
        <w:rPr>
          <w:rFonts w:cs="Arial"/>
          <w:sz w:val="22"/>
          <w:szCs w:val="22"/>
          <w:lang w:val="et-EE"/>
        </w:rPr>
        <w:t xml:space="preserve">Selline käsitlus võimaldab samuti mööda hiilida MGS-i ja EL õigusega LNG terminalile sätestatud nõuetest ja kohustustest ühendades sadamas seisvat või ka vaid minimaalseks ajaks sadamast väljuvat ja sinna taassisenevat laeva pidevalt liitumispunktiga ja jälle sealt lahti. Siin tekib taas küsimus, et </w:t>
      </w:r>
      <w:r w:rsidRPr="001F18E6">
        <w:rPr>
          <w:rFonts w:cs="Arial"/>
          <w:b/>
          <w:bCs/>
          <w:sz w:val="22"/>
          <w:szCs w:val="22"/>
          <w:lang w:val="et-EE"/>
        </w:rPr>
        <w:t>kuidas kavatseb Elering AS veenduda, et sellise FSRU-ga ei osutata teenuseid ehk tegu pole terminaliga</w:t>
      </w:r>
      <w:r w:rsidRPr="001F18E6">
        <w:rPr>
          <w:rFonts w:cs="Arial"/>
          <w:sz w:val="22"/>
          <w:szCs w:val="22"/>
          <w:lang w:val="et-EE"/>
        </w:rPr>
        <w:t xml:space="preserve"> – nagu juba eelnevalt välja toodud, olete ka ise möönnud, et võimalus kontrolliks Elering AS-il puudub.</w:t>
      </w:r>
    </w:p>
    <w:p w14:paraId="08C842AB"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05B25CBC" w14:textId="57C5E34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Terminaliteenuse mitte osutamise kontrolli kohta on esitatud vastus punktis 3 ning Eleringi hinnangul on maksimaalse gaasikoguse määramise</w:t>
      </w:r>
      <w:r w:rsidR="00887B31">
        <w:rPr>
          <w:rFonts w:cs="Arial"/>
          <w:color w:val="00B050"/>
          <w:sz w:val="22"/>
          <w:szCs w:val="22"/>
          <w:lang w:val="et-EE"/>
        </w:rPr>
        <w:t>ga</w:t>
      </w:r>
      <w:r w:rsidRPr="00413B19">
        <w:rPr>
          <w:rFonts w:cs="Arial"/>
          <w:color w:val="00B050"/>
          <w:sz w:val="22"/>
          <w:szCs w:val="22"/>
          <w:lang w:val="et-EE"/>
        </w:rPr>
        <w:t xml:space="preserve"> ja erinevate lepingute sõlmimise</w:t>
      </w:r>
      <w:r w:rsidR="00887B31">
        <w:rPr>
          <w:rFonts w:cs="Arial"/>
          <w:color w:val="00B050"/>
          <w:sz w:val="22"/>
          <w:szCs w:val="22"/>
          <w:lang w:val="et-EE"/>
        </w:rPr>
        <w:t>ga</w:t>
      </w:r>
      <w:r w:rsidRPr="00413B19">
        <w:rPr>
          <w:rFonts w:cs="Arial"/>
          <w:color w:val="00B050"/>
          <w:sz w:val="22"/>
          <w:szCs w:val="22"/>
          <w:lang w:val="et-EE"/>
        </w:rPr>
        <w:t xml:space="preserve"> võimaldatud kontrolli teostamine mitmes erinevas etapis. Samuti märgime, et kõigil turuosalistel on terminaliteenuse osutamise kahtluse korral võimalik esitada nii Eleringile kui ka järelevalveasutusele vihjed selle osutamise kohta. </w:t>
      </w:r>
    </w:p>
    <w:p w14:paraId="7A9A908B"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5.</w:t>
      </w:r>
      <w:r w:rsidRPr="001F18E6">
        <w:rPr>
          <w:rFonts w:cs="Arial"/>
          <w:sz w:val="22"/>
          <w:szCs w:val="22"/>
          <w:lang w:val="et-EE"/>
        </w:rPr>
        <w:t xml:space="preserve"> Olete meie varasematele märkustele vastuseks selgitanud, et liitumistingimustes toodud võimalus esitada liitumistaotlus 18 kuud enne soovitud võrguühenduse perioodi algust on valitud eesmärgil, et liitujale võimaldada võrdsetel tingimustel esitada broneerimistaotlus võttes arvesse piirkondlike LNG terminalide graafikute alusel antavaid pikaajalisi gaasivoogusid. </w:t>
      </w:r>
    </w:p>
    <w:p w14:paraId="4C18F2D3" w14:textId="77777777" w:rsidR="009A5F33" w:rsidRPr="001F18E6" w:rsidRDefault="009A5F33" w:rsidP="009A5F33">
      <w:pPr>
        <w:pStyle w:val="BodyText"/>
        <w:rPr>
          <w:rFonts w:cs="Arial"/>
          <w:sz w:val="22"/>
          <w:szCs w:val="22"/>
          <w:lang w:val="et-EE"/>
        </w:rPr>
      </w:pPr>
      <w:r w:rsidRPr="001F18E6">
        <w:rPr>
          <w:rFonts w:cs="Arial"/>
          <w:sz w:val="22"/>
          <w:szCs w:val="22"/>
          <w:lang w:val="et-EE"/>
        </w:rPr>
        <w:t xml:space="preserve">Olukorras, kus Elering AS ei käsitle Pakrineemes liituvat FSRU-d terminalina, tähendab see aga, et Pakrineeme liitumispunkti kaudu LNG-d importivale turuosalisele on antud võrdsed võimalused mitte teiste sarnaste turuosaliste, vaid terminalidega. Piirkondlike LNG terminalide slottide jagamise mehhanismide alusel saavad LNG terminalide kaudu LNG-d importivad turuosalised info kas ja millises ulatuses neil on võimalik LNG-d imprortida vaid 4 kuud enne kalendriaasta algust. Selliselt saaks Pakrineeme liitumispunkti kaudu LNG-d importida sooviv turuosaline ilmselge konkurentsieelise piirkondlike terminalide kaudu importivate turuosaliste ees ja see </w:t>
      </w:r>
      <w:r w:rsidRPr="001F18E6">
        <w:rPr>
          <w:rFonts w:cs="Arial"/>
          <w:b/>
          <w:bCs/>
          <w:sz w:val="22"/>
          <w:szCs w:val="22"/>
          <w:lang w:val="et-EE"/>
        </w:rPr>
        <w:t>on otseses vastuolus MGS § 18 lg 5 punktist 2 tuleneva põhimõttega, mille kohaselt peavad liitumistingimused olema sarnaste liitujate võrdse kohtlemise põhimõtet järgivad</w:t>
      </w:r>
      <w:r w:rsidRPr="001F18E6">
        <w:rPr>
          <w:rFonts w:cs="Arial"/>
          <w:sz w:val="22"/>
          <w:szCs w:val="22"/>
          <w:lang w:val="et-EE"/>
        </w:rPr>
        <w:t xml:space="preserve">. </w:t>
      </w:r>
    </w:p>
    <w:p w14:paraId="4DA79E50"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32714D16"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lastRenderedPageBreak/>
        <w:t xml:space="preserve">Eleringi hinnangul on samuti tagatud ka liitujate võrdne kohtlemine ja MGS § 18 lg 5 p-s 2  olevat põhimõtet - sarnaseid liitujaid tuleb kohelda võrdselt, ei rikuta, sest liitumine on avatud võrdsetel alustel kõigile turuosaliste. </w:t>
      </w:r>
    </w:p>
    <w:p w14:paraId="3FA71FA8" w14:textId="77777777" w:rsidR="009A5F33" w:rsidRPr="00413B19" w:rsidRDefault="009A5F33" w:rsidP="009A5F33">
      <w:pPr>
        <w:jc w:val="both"/>
        <w:rPr>
          <w:rFonts w:ascii="Arial" w:hAnsi="Arial" w:cs="Arial"/>
          <w:color w:val="00B050"/>
          <w:sz w:val="22"/>
          <w:szCs w:val="22"/>
        </w:rPr>
      </w:pPr>
    </w:p>
    <w:p w14:paraId="097641A2"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Nõustume, et piirkondliku gaasituru arendamise juures on oluline nii LNG terminalide, gaasisüsteemihaldurite kui ka regulaatorite koostöö ning turureeglite ühtsustamine ja turuosalistele võrdsete kauplemisvõimaluste tagamine. Samas juhib Elering tähelepanu, et viidatud Inkoo ja Klaipeda LNG terminalid ei üle ühendatud Eleringi ülekandevõrguga ning Elering ei ole välja töötanud nimetatud LNG terminalide või selle halduri liitumistingimusi. Samuti on Pakrineeme ühekordne liitumine võrreldes LNG terminaliteenuse osutamise teenusega erinevad ja seetõttu ei ole võrreldavad Pakrineeme liitumistingimustes nimetatud liitumistaotluse esitamise tähtaeg broneerimistähtajaga, mis on seotud piirkondlike terminalide poolt gaasi terminali importimise ajakavadega.</w:t>
      </w:r>
    </w:p>
    <w:p w14:paraId="18C08FEA"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Pakrineeme liitumistingimused ja sellega seonduvad reeglid kehtestatakse võrdselt kõigi turuosaliste suhtes ja liitumistingimustest lähtuvalt saab võrguettevõtja vastavalt reageerida kui ilmnevad liitumistingimuste, liitumislepingu või võrgulepingu rikkumine.  </w:t>
      </w:r>
    </w:p>
    <w:p w14:paraId="2E5DAFFE" w14:textId="77777777" w:rsidR="009A5F33" w:rsidRPr="00413B19" w:rsidRDefault="009A5F33" w:rsidP="009A5F33">
      <w:pPr>
        <w:jc w:val="both"/>
        <w:rPr>
          <w:rFonts w:ascii="Arial" w:hAnsi="Arial" w:cs="Arial"/>
          <w:color w:val="00B050"/>
          <w:sz w:val="22"/>
          <w:szCs w:val="22"/>
        </w:rPr>
      </w:pPr>
    </w:p>
    <w:p w14:paraId="5B356EA6"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Sealjuures on Pakrineeme liitumisel liitumistingimustes sätestatud spetsiifilised liitumise tingimustena küllatki piiravad nõuded. Liitumistingimuste p 1.3  järgi  ei või näiteks ühekordse lasti sisestamise tähtajaline võrguühenduse periood olla pikem kui 60 päeva. Samuti ei või tähtaegne võrguühendus olla pikem kui kliendile liitumise tarbeks võimaldatud Pakrineeme sadama kasutusõiguse periood.</w:t>
      </w:r>
    </w:p>
    <w:p w14:paraId="2BE2CC2B" w14:textId="77777777" w:rsidR="009A5F33" w:rsidRPr="00413B19" w:rsidRDefault="009A5F33" w:rsidP="009A5F33">
      <w:pPr>
        <w:jc w:val="both"/>
        <w:rPr>
          <w:rFonts w:ascii="Arial" w:hAnsi="Arial" w:cs="Arial"/>
          <w:color w:val="00B050"/>
          <w:sz w:val="22"/>
          <w:szCs w:val="22"/>
        </w:rPr>
      </w:pPr>
    </w:p>
    <w:p w14:paraId="36BF5CBF"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 xml:space="preserve">Ülekandevõimsuse jaotamisel ja gaasi ülekandevõrku sisestamiseks peab klient sõlmima võrguettevõtjaga dokumendi „Common Regulations for the Use of Natural Gas Transmission System“ alusel Eesti-Läti ühise gaasitsooni võrgulepingu ja dokumendi „Common Regulations for the Natural Gas Balancing of Transmission System“ alusel Eesti-Läti ühise gaasitsooni bilansilepingu, mis on nõutav gaasi sisestamisel mistahes sisendpunktist Eesti-Läti ühisesse bilansitsooni. Seejuures Pakrineeme vaba sisendvõimsuse arvutamisel võetakse arvesse regiooni planeeritud gaasivoogusid sh LNG terminalide graafikuid, mis annab teatud oludes eelise LNG terminalide tarnetele. </w:t>
      </w:r>
    </w:p>
    <w:p w14:paraId="6655DE08" w14:textId="77777777" w:rsidR="009A5F33" w:rsidRPr="00413B19" w:rsidRDefault="009A5F33" w:rsidP="009A5F33">
      <w:pPr>
        <w:jc w:val="both"/>
        <w:rPr>
          <w:rFonts w:ascii="Arial" w:hAnsi="Arial" w:cs="Arial"/>
          <w:color w:val="00B050"/>
          <w:sz w:val="22"/>
          <w:szCs w:val="22"/>
        </w:rPr>
      </w:pPr>
    </w:p>
    <w:p w14:paraId="0733C029" w14:textId="77777777" w:rsidR="009A5F33" w:rsidRPr="00413B19" w:rsidRDefault="009A5F33" w:rsidP="009A5F33">
      <w:pPr>
        <w:jc w:val="both"/>
        <w:rPr>
          <w:rFonts w:ascii="Arial" w:hAnsi="Arial" w:cs="Arial"/>
          <w:color w:val="00B050"/>
          <w:sz w:val="22"/>
          <w:szCs w:val="22"/>
        </w:rPr>
      </w:pPr>
      <w:r w:rsidRPr="00413B19">
        <w:rPr>
          <w:rFonts w:ascii="Arial" w:hAnsi="Arial" w:cs="Arial"/>
          <w:color w:val="00B050"/>
          <w:sz w:val="22"/>
          <w:szCs w:val="22"/>
        </w:rPr>
        <w:t>Samuti saab Elering lähtuvalt MGS § 27 lg 1 p 2 järgi ja talle väljastatud tegevusloa alusel osutada ainult gaasi ülekandeteenust ning Pakrineeme liitumistingimuste alusel ellu viidatavate tegevuste näol on tegemist võrguteenuse osutamisega, mitte terminaliteenuse või terminalihalduri teenuse osutamisega.</w:t>
      </w:r>
    </w:p>
    <w:p w14:paraId="675FA3E8" w14:textId="77777777" w:rsidR="009A5F33" w:rsidRPr="00413B19" w:rsidRDefault="009A5F33" w:rsidP="009A5F33">
      <w:pPr>
        <w:pStyle w:val="BodyText"/>
        <w:rPr>
          <w:rFonts w:cs="Arial"/>
          <w:color w:val="0C2B4B"/>
          <w:sz w:val="22"/>
          <w:szCs w:val="22"/>
          <w:lang w:val="et-EE"/>
        </w:rPr>
      </w:pPr>
    </w:p>
    <w:p w14:paraId="739E059F"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6.</w:t>
      </w:r>
      <w:r w:rsidRPr="001F18E6">
        <w:rPr>
          <w:rFonts w:cs="Arial"/>
          <w:sz w:val="22"/>
          <w:szCs w:val="22"/>
          <w:lang w:val="et-EE"/>
        </w:rPr>
        <w:t xml:space="preserve"> Punktis 5 tooduga seoses palume ühtlasi selgitada, kas Pakrineeme liitumistingimusi on tutvustatud teistele regiooni terminali halduritele ja omanikele ning kui on, siis millised on nende seisukohad?</w:t>
      </w:r>
    </w:p>
    <w:p w14:paraId="1BCF7C3C"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01DDC84B"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 on Pakrineeme liitumistingimuste kehtestamisest teavitanud piirkondlikke gaasi ülekandevõrgu võrguettevõtjaid, kes on ühtlasi ka Inkoo ja Klaipeda terminalihaldurid. Lisaks liitumistingimuste kehtestamisele on Elering koos Conexusega algatanud „Common Regulations for the Use of Natural Gas Transmission System“ Eesti-Läti ühise gaasitsooni võrgulepingu muudatuste kooskõlastamise regulaatoritega, mille raames on läbi viidud avalik konsultatsioon ning selle raames on olnud ka piirkonna terminalihalduritel võimalik esitada omapoolsed märkused ja ettepanekud.</w:t>
      </w:r>
    </w:p>
    <w:p w14:paraId="6953A4C3"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 xml:space="preserve">7. </w:t>
      </w:r>
      <w:r w:rsidRPr="001F18E6">
        <w:rPr>
          <w:rFonts w:cs="Arial"/>
          <w:sz w:val="22"/>
          <w:szCs w:val="22"/>
          <w:lang w:val="et-EE"/>
        </w:rPr>
        <w:t xml:space="preserve">MGS § 22 lg 15¹ sätestab, et võrguettevõtja esitab Konkurentsiametile tingimused </w:t>
      </w:r>
      <w:r w:rsidRPr="001F18E6">
        <w:rPr>
          <w:rFonts w:cs="Arial"/>
          <w:b/>
          <w:bCs/>
          <w:sz w:val="22"/>
          <w:szCs w:val="22"/>
          <w:lang w:val="et-EE"/>
        </w:rPr>
        <w:t>piiriülesele taristule juurdepääsuks</w:t>
      </w:r>
      <w:r w:rsidRPr="001F18E6">
        <w:rPr>
          <w:rFonts w:cs="Arial"/>
          <w:sz w:val="22"/>
          <w:szCs w:val="22"/>
          <w:lang w:val="et-EE"/>
        </w:rPr>
        <w:t xml:space="preserve"> ning metoodika võimsuse jaotamiseks ja ülekoormusega tegelemiseks. Metoodika võimsuste jaotamiseks ja ülekoormusega tegelemiseks on reguleeritud Konkurentsiametile kooskõlastamiseks esitatud dokumendis „</w:t>
      </w:r>
      <w:r w:rsidRPr="001F18E6">
        <w:rPr>
          <w:rFonts w:cs="Arial"/>
          <w:i/>
          <w:iCs/>
          <w:sz w:val="22"/>
          <w:szCs w:val="22"/>
          <w:lang w:val="et-EE"/>
        </w:rPr>
        <w:t>Common Regulations for the Use of Natural Gas Transmission System</w:t>
      </w:r>
      <w:r w:rsidRPr="001F18E6">
        <w:rPr>
          <w:rFonts w:cs="Arial"/>
          <w:sz w:val="22"/>
          <w:szCs w:val="22"/>
          <w:lang w:val="et-EE"/>
        </w:rPr>
        <w:t xml:space="preserve">“, kuid juurdepääsutingimused kehtestatakse käesolevate Pakrineeme liitumistingimustega. Gaasituru nõukojas 10.03.2025. a väljendas Elering AS seisukohta, et MGS-i alusel ei pea võrguettevõtjad </w:t>
      </w:r>
      <w:r w:rsidRPr="001F18E6">
        <w:rPr>
          <w:rFonts w:cs="Arial"/>
          <w:sz w:val="22"/>
          <w:szCs w:val="22"/>
          <w:lang w:val="et-EE"/>
        </w:rPr>
        <w:lastRenderedPageBreak/>
        <w:t xml:space="preserve">üldse üldiseid liitumistingimusi välja töötama ja need ei kuulu ühtlasi Konkurentsiameti poolt kooskõlastamisele. </w:t>
      </w:r>
      <w:r w:rsidRPr="001F18E6">
        <w:rPr>
          <w:rFonts w:cs="Arial"/>
          <w:b/>
          <w:bCs/>
          <w:sz w:val="22"/>
          <w:szCs w:val="22"/>
          <w:lang w:val="et-EE"/>
        </w:rPr>
        <w:t>Selline seisukoht on vastuolus MGS § 22 lg-ga 15¹, direktiivi 2009/73/EÜ artikli 41 lg 6 punktiga c ja direktiivi (EL) 2024/1788</w:t>
      </w:r>
      <w:r w:rsidRPr="001F18E6">
        <w:rPr>
          <w:rFonts w:cs="Arial"/>
          <w:sz w:val="22"/>
          <w:szCs w:val="22"/>
          <w:lang w:val="et-EE"/>
        </w:rPr>
        <w:t xml:space="preserve"> </w:t>
      </w:r>
      <w:r w:rsidRPr="001F18E6">
        <w:rPr>
          <w:rFonts w:cs="Arial"/>
          <w:b/>
          <w:bCs/>
          <w:sz w:val="22"/>
          <w:szCs w:val="22"/>
          <w:lang w:val="et-EE"/>
        </w:rPr>
        <w:t>artikli 78 lg 7 punktiga e</w:t>
      </w:r>
      <w:r w:rsidRPr="001F18E6">
        <w:rPr>
          <w:rFonts w:cs="Arial"/>
          <w:sz w:val="22"/>
          <w:szCs w:val="22"/>
          <w:lang w:val="et-EE"/>
        </w:rPr>
        <w:t>.</w:t>
      </w:r>
      <w:r w:rsidRPr="001F18E6">
        <w:rPr>
          <w:rFonts w:cs="Arial"/>
          <w:b/>
          <w:bCs/>
          <w:sz w:val="22"/>
          <w:szCs w:val="22"/>
          <w:lang w:val="et-EE"/>
        </w:rPr>
        <w:t xml:space="preserve"> </w:t>
      </w:r>
    </w:p>
    <w:p w14:paraId="0B112264"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Eleringi vastus:</w:t>
      </w:r>
    </w:p>
    <w:p w14:paraId="2B60FE7E"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Elering selgitab, et direktiiv 2024/1788 art 78 lg 7 punkt e sätestab kooskõlastuskohustuse  piiriülesele taristule juurdepääsu, sealhulgas võimsuse jaotamise ja ülekandevõime piiratuse juhtimise menetlusega seotud reeglitele.</w:t>
      </w:r>
    </w:p>
    <w:p w14:paraId="546BE020"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 xml:space="preserve">Määruse 2024/1789 art 6 alusel mõistetakse „juurdepääsuteenusena“ eri liiki võimsustoodete pakkumise kohustust, mitte Eesti kontekstis ülekandevõrguga seotud liitumise tingimusi. </w:t>
      </w:r>
    </w:p>
    <w:p w14:paraId="1D602929"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Vastavalt direktiiv 2024/1788 art 31 lg-le 1 peavad liikmesriigid tagama, et rakendatakse ülekandesüsteemidele ning maagaasi veeldusjaamadele kolmandate isikute juurepääsu süsteemi, mis põhineb kõigile tarbijatele, sealhulgas tarneettevõtjatele kohaldatavatel avaldatud tariifidel ning mida kohaldatakse objektiivselt ja süsteemi kasutajate vahel vahet tegemata. Liikmesriigid tagavad, et reguleeriv asutus kiidab nimetatud tariifid või nende arvutamise metoodika heaks enne nende jõustumist.</w:t>
      </w:r>
    </w:p>
    <w:p w14:paraId="670D060A"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 xml:space="preserve">Sellest lähtuvalt järeldame, et taristule juurdepääsu tingimuste all tuleb viidatud direktiivi, määruse ja MGS-i mõistes käsitleda võimsustooteid, nendega seotud tariife ja metoodikaid, mille on Elering Konkurentsiametiga alati kooskõlastanud.  Seevastu nn füüsilise võrguga seotud liituja paigaldise ühendamist seonduvad tingimused ei lähe Eleringi hinnangul kooskõlastamise kohustuse alla. Vastavalt MGS § 18 lg-le 4 väljastab võrguettevõtja liitumistingimused vaid konkreetse liituja taotluse alusel. Seega puudub võrguettevõtjatel MGS-i alusel üldse tüüptingimuste kujul olevate  liitumistingimuste koostamise kohustusega ka Konkurentsiametiga kooskõlastamise kohustus. </w:t>
      </w:r>
    </w:p>
    <w:p w14:paraId="122A3383" w14:textId="77777777" w:rsidR="009A5F33" w:rsidRPr="00413B19" w:rsidRDefault="009A5F33" w:rsidP="009A5F33">
      <w:pPr>
        <w:pStyle w:val="BodyText"/>
        <w:rPr>
          <w:rFonts w:cs="Arial"/>
          <w:color w:val="00B050"/>
          <w:sz w:val="22"/>
          <w:szCs w:val="22"/>
          <w:lang w:val="et-EE"/>
        </w:rPr>
      </w:pPr>
      <w:r w:rsidRPr="00413B19">
        <w:rPr>
          <w:rFonts w:cs="Arial"/>
          <w:color w:val="00B050"/>
          <w:sz w:val="22"/>
          <w:szCs w:val="22"/>
          <w:lang w:val="et-EE"/>
        </w:rPr>
        <w:t>Täiendavalt juhime tähelepanu, et ka MGS § 22 lg 15¹ sõnastuse järgi ei ole tingimuste kooskõlastamine nõutav ning samale seisukohale on asunud ka Konkurentsiamet.</w:t>
      </w:r>
    </w:p>
    <w:p w14:paraId="0629F15F" w14:textId="77777777" w:rsidR="009A5F33" w:rsidRPr="001F18E6" w:rsidRDefault="009A5F33" w:rsidP="009A5F33">
      <w:pPr>
        <w:pStyle w:val="BodyText"/>
        <w:rPr>
          <w:rFonts w:cs="Arial"/>
          <w:sz w:val="22"/>
          <w:szCs w:val="22"/>
          <w:lang w:val="et-EE"/>
        </w:rPr>
      </w:pPr>
      <w:r w:rsidRPr="001F18E6">
        <w:rPr>
          <w:rFonts w:cs="Arial"/>
          <w:b/>
          <w:bCs/>
          <w:sz w:val="22"/>
          <w:szCs w:val="22"/>
          <w:lang w:val="et-EE"/>
        </w:rPr>
        <w:t>8.</w:t>
      </w:r>
      <w:r w:rsidRPr="001F18E6">
        <w:rPr>
          <w:rFonts w:cs="Arial"/>
          <w:sz w:val="22"/>
          <w:szCs w:val="22"/>
          <w:lang w:val="et-EE"/>
        </w:rPr>
        <w:t xml:space="preserve"> Oleme ka varem avaldanud muret, et liitumistingimused ei taga, et Pakrineeme liitumispunkti ei kasutata Venemaalt pärit, kuid mõnes terminalis ümberlaaditud („pestud“) maagaasi gaasivõrku sisestamiseks. Vastava teema osas olete selgitanud, et „</w:t>
      </w:r>
      <w:r w:rsidRPr="001F18E6">
        <w:rPr>
          <w:rFonts w:cs="Arial"/>
          <w:i/>
          <w:iCs/>
          <w:sz w:val="22"/>
          <w:szCs w:val="22"/>
          <w:lang w:val="et-EE"/>
        </w:rPr>
        <w:t>Elering osutab Pakrineemes gaasi transiidi teenust ning ei saa keelduda selle teenuse osutamisest. Elering on ette näinud liitumistingimustega, et liituja peab enne gaasivoo avamist esitama Eleringile sisestatava laeva lastis oleva gaasi kohta päritolutunnistuse. Gaasi päritolutunnistuse õigsuse üle teostab kontrolli Eestis Maksu- ja Tolliamet.</w:t>
      </w:r>
      <w:r w:rsidRPr="001F18E6">
        <w:rPr>
          <w:rFonts w:cs="Arial"/>
          <w:sz w:val="22"/>
          <w:szCs w:val="22"/>
          <w:lang w:val="et-EE"/>
        </w:rPr>
        <w:t xml:space="preserve">“. Jääme oma seisukoha juurde, et liitumistingimustega tuleb tagada, et Pakrineeme liitumispunkti kaudu puudub võimalus ülekandevõrku sisestada LNG-d, mis pärineb Vene Föderatsioonist. MGS-i ja EL-i õiguse meelevaldne tõlgendus, et Pakrineeme liitumispunktis liitumine on vabaturuteenus ei tohi piiriülese liitumispunkti omanikku vabastada kohustusest vastutada ülekandevõrku sisestatava maagaasi päritolu eest. Senistest vastustest sel teemal jääb mulje, et pole mõistetud sellise tegevusega kaasnevat võimalikku Eesti riigi mainekahju ja julgeolekuriski. </w:t>
      </w:r>
      <w:r w:rsidRPr="001F18E6">
        <w:rPr>
          <w:rFonts w:cs="Arial"/>
          <w:b/>
          <w:bCs/>
          <w:sz w:val="22"/>
          <w:szCs w:val="22"/>
          <w:lang w:val="et-EE"/>
        </w:rPr>
        <w:t>Palume, et Elering AS suhtuks sellesse küsimusse täie tõsidusega ning liitumispunkti omanikuna üheselt tagaks, et Eesti ülekandevõrku ei jõua otseselt ega kaudselt Vene päritolu LNG</w:t>
      </w:r>
      <w:r w:rsidRPr="001F18E6">
        <w:rPr>
          <w:rFonts w:cs="Arial"/>
          <w:sz w:val="22"/>
          <w:szCs w:val="22"/>
          <w:lang w:val="et-EE"/>
        </w:rPr>
        <w:t>.</w:t>
      </w:r>
    </w:p>
    <w:p w14:paraId="121D75B9" w14:textId="77777777" w:rsidR="009A5F33" w:rsidRPr="00413B19" w:rsidRDefault="009A5F33" w:rsidP="009A5F33">
      <w:pPr>
        <w:pStyle w:val="BodyText"/>
        <w:spacing w:before="249" w:line="307" w:lineRule="exact"/>
        <w:rPr>
          <w:rFonts w:cs="Arial"/>
          <w:color w:val="00B050"/>
          <w:sz w:val="22"/>
          <w:szCs w:val="22"/>
          <w:lang w:val="et-EE"/>
        </w:rPr>
      </w:pPr>
      <w:r w:rsidRPr="00413B19">
        <w:rPr>
          <w:rFonts w:cs="Arial"/>
          <w:color w:val="00B050"/>
          <w:sz w:val="22"/>
          <w:szCs w:val="22"/>
          <w:lang w:val="et-EE"/>
        </w:rPr>
        <w:t>Eleringi vastus:</w:t>
      </w:r>
    </w:p>
    <w:p w14:paraId="0F39F421" w14:textId="77777777" w:rsidR="009A5F33" w:rsidRPr="00413B19" w:rsidRDefault="009A5F33" w:rsidP="009A5F33">
      <w:pPr>
        <w:pStyle w:val="BodyText"/>
        <w:spacing w:before="249" w:line="307" w:lineRule="exact"/>
        <w:rPr>
          <w:rFonts w:cs="Arial"/>
          <w:color w:val="00B050"/>
          <w:sz w:val="22"/>
          <w:szCs w:val="22"/>
          <w:lang w:val="et-EE"/>
        </w:rPr>
      </w:pPr>
      <w:r w:rsidRPr="00413B19">
        <w:rPr>
          <w:rFonts w:cs="Arial"/>
          <w:color w:val="00B050"/>
          <w:sz w:val="22"/>
          <w:szCs w:val="22"/>
          <w:lang w:val="et-EE"/>
        </w:rPr>
        <w:t xml:space="preserve">Elering jääb varasema seisukoha juurde ning Elering saab liitumistingimuste alusel kontrollida laeva lastis oleva gaasi päritolu vastavalt päritolutunnistusele, mille õigsuse üle teostab kontrolli Eesti Maksu- ja Tolliamet. Liitumistingimustes on ette nähtud Eleringile õigus gaasivoo sulgemiseks ja lepingu üles ütlemiseks juhul, kui tuvastatakse, et sisestatav gaas pärineb riigist, mille suhtes on kehtestatud gaasi importimise keeld. Kinnitame, et Elering suhtub gaasi päriolu kontrollimisse täie tõsidusega ning kahtluse </w:t>
      </w:r>
      <w:r w:rsidRPr="00413B19">
        <w:rPr>
          <w:rFonts w:cs="Arial"/>
          <w:color w:val="00B050"/>
          <w:sz w:val="22"/>
          <w:szCs w:val="22"/>
          <w:lang w:val="et-EE"/>
        </w:rPr>
        <w:lastRenderedPageBreak/>
        <w:t xml:space="preserve">korral teavitab ka vastavaid järelevalveasutusi ning rakendab vastavaid meetmeid gaasi sisestamise tõkestamisel. </w:t>
      </w:r>
    </w:p>
    <w:p w14:paraId="678BDAD6" w14:textId="77777777" w:rsidR="00D61500" w:rsidRPr="00413B19" w:rsidRDefault="00D61500" w:rsidP="00187417">
      <w:pPr>
        <w:rPr>
          <w:rFonts w:ascii="Arial" w:hAnsi="Arial" w:cs="Arial"/>
          <w:sz w:val="22"/>
          <w:szCs w:val="22"/>
        </w:rPr>
      </w:pPr>
    </w:p>
    <w:sectPr w:rsidR="00D61500" w:rsidRPr="00413B19" w:rsidSect="008F053D">
      <w:headerReference w:type="default" r:id="rId11"/>
      <w:footerReference w:type="default" r:id="rId12"/>
      <w:pgSz w:w="11906" w:h="16838"/>
      <w:pgMar w:top="1977" w:right="746" w:bottom="1417" w:left="126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9D71A" w14:textId="77777777" w:rsidR="00270D22" w:rsidRDefault="00270D22">
      <w:r>
        <w:separator/>
      </w:r>
    </w:p>
  </w:endnote>
  <w:endnote w:type="continuationSeparator" w:id="0">
    <w:p w14:paraId="46C12D27" w14:textId="77777777" w:rsidR="00270D22" w:rsidRDefault="00270D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5DC13" w14:textId="77777777" w:rsidR="004A6AE8" w:rsidRPr="004C065A" w:rsidRDefault="004A6AE8" w:rsidP="00594CC3">
    <w:pPr>
      <w:pStyle w:val="BasicParagraph"/>
      <w:rPr>
        <w:rFonts w:ascii="Arial" w:hAnsi="Arial" w:cs="Arial"/>
        <w:color w:val="9A9C9D"/>
        <w:sz w:val="14"/>
        <w:szCs w:val="14"/>
      </w:rPr>
    </w:pPr>
    <w:r w:rsidRPr="004C065A">
      <w:rPr>
        <w:rFonts w:ascii="Arial" w:hAnsi="Arial" w:cs="Arial"/>
        <w:b/>
        <w:color w:val="9A9C9D"/>
        <w:sz w:val="14"/>
        <w:szCs w:val="14"/>
      </w:rPr>
      <w:t>Elering AS</w:t>
    </w:r>
    <w:r w:rsidRPr="004C065A">
      <w:rPr>
        <w:rFonts w:ascii="Arial" w:hAnsi="Arial" w:cs="Arial"/>
        <w:color w:val="9A9C9D"/>
        <w:sz w:val="14"/>
        <w:szCs w:val="14"/>
      </w:rPr>
      <w:t xml:space="preserve"> | Registrikood/Reg. code 11022625 | Kadaka tee 42, 12915 Tallinn, Estonia | Tel/Ph + 372 715 1222 | Faks/Fax + 372 715 1200 | www.elering.ee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88A573" w14:textId="77777777" w:rsidR="00270D22" w:rsidRDefault="00270D22">
      <w:r>
        <w:separator/>
      </w:r>
    </w:p>
  </w:footnote>
  <w:footnote w:type="continuationSeparator" w:id="0">
    <w:p w14:paraId="29AA8DDD" w14:textId="77777777" w:rsidR="00270D22" w:rsidRDefault="00270D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290C9" w14:textId="77777777" w:rsidR="004A6AE8" w:rsidRDefault="004A6AE8" w:rsidP="004C065A">
    <w:pPr>
      <w:pStyle w:val="Header"/>
    </w:pPr>
    <w:r>
      <w:rPr>
        <w:noProof/>
      </w:rPr>
      <w:drawing>
        <wp:anchor distT="0" distB="0" distL="114300" distR="114300" simplePos="0" relativeHeight="251657728" behindDoc="1" locked="0" layoutInCell="1" allowOverlap="1" wp14:anchorId="71957AE2" wp14:editId="0E982D89">
          <wp:simplePos x="0" y="0"/>
          <wp:positionH relativeFrom="column">
            <wp:posOffset>-800100</wp:posOffset>
          </wp:positionH>
          <wp:positionV relativeFrom="paragraph">
            <wp:posOffset>-451485</wp:posOffset>
          </wp:positionV>
          <wp:extent cx="7543800" cy="2689860"/>
          <wp:effectExtent l="0" t="0" r="0" b="0"/>
          <wp:wrapNone/>
          <wp:docPr id="3" name="Picture 3" descr="elering_blank_p2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lering_blank_p2i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3800" cy="2689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91C34"/>
    <w:multiLevelType w:val="hybridMultilevel"/>
    <w:tmpl w:val="6890F644"/>
    <w:lvl w:ilvl="0" w:tplc="04250001">
      <w:start w:val="1"/>
      <w:numFmt w:val="bullet"/>
      <w:lvlText w:val=""/>
      <w:lvlJc w:val="left"/>
      <w:pPr>
        <w:ind w:left="783" w:hanging="360"/>
      </w:pPr>
      <w:rPr>
        <w:rFonts w:ascii="Symbol" w:hAnsi="Symbol" w:hint="default"/>
      </w:rPr>
    </w:lvl>
    <w:lvl w:ilvl="1" w:tplc="04250003" w:tentative="1">
      <w:start w:val="1"/>
      <w:numFmt w:val="bullet"/>
      <w:lvlText w:val="o"/>
      <w:lvlJc w:val="left"/>
      <w:pPr>
        <w:ind w:left="1503" w:hanging="360"/>
      </w:pPr>
      <w:rPr>
        <w:rFonts w:ascii="Courier New" w:hAnsi="Courier New" w:cs="Courier New" w:hint="default"/>
      </w:rPr>
    </w:lvl>
    <w:lvl w:ilvl="2" w:tplc="04250005" w:tentative="1">
      <w:start w:val="1"/>
      <w:numFmt w:val="bullet"/>
      <w:lvlText w:val=""/>
      <w:lvlJc w:val="left"/>
      <w:pPr>
        <w:ind w:left="2223" w:hanging="360"/>
      </w:pPr>
      <w:rPr>
        <w:rFonts w:ascii="Wingdings" w:hAnsi="Wingdings" w:hint="default"/>
      </w:rPr>
    </w:lvl>
    <w:lvl w:ilvl="3" w:tplc="04250001" w:tentative="1">
      <w:start w:val="1"/>
      <w:numFmt w:val="bullet"/>
      <w:lvlText w:val=""/>
      <w:lvlJc w:val="left"/>
      <w:pPr>
        <w:ind w:left="2943" w:hanging="360"/>
      </w:pPr>
      <w:rPr>
        <w:rFonts w:ascii="Symbol" w:hAnsi="Symbol" w:hint="default"/>
      </w:rPr>
    </w:lvl>
    <w:lvl w:ilvl="4" w:tplc="04250003" w:tentative="1">
      <w:start w:val="1"/>
      <w:numFmt w:val="bullet"/>
      <w:lvlText w:val="o"/>
      <w:lvlJc w:val="left"/>
      <w:pPr>
        <w:ind w:left="3663" w:hanging="360"/>
      </w:pPr>
      <w:rPr>
        <w:rFonts w:ascii="Courier New" w:hAnsi="Courier New" w:cs="Courier New" w:hint="default"/>
      </w:rPr>
    </w:lvl>
    <w:lvl w:ilvl="5" w:tplc="04250005" w:tentative="1">
      <w:start w:val="1"/>
      <w:numFmt w:val="bullet"/>
      <w:lvlText w:val=""/>
      <w:lvlJc w:val="left"/>
      <w:pPr>
        <w:ind w:left="4383" w:hanging="360"/>
      </w:pPr>
      <w:rPr>
        <w:rFonts w:ascii="Wingdings" w:hAnsi="Wingdings" w:hint="default"/>
      </w:rPr>
    </w:lvl>
    <w:lvl w:ilvl="6" w:tplc="04250001" w:tentative="1">
      <w:start w:val="1"/>
      <w:numFmt w:val="bullet"/>
      <w:lvlText w:val=""/>
      <w:lvlJc w:val="left"/>
      <w:pPr>
        <w:ind w:left="5103" w:hanging="360"/>
      </w:pPr>
      <w:rPr>
        <w:rFonts w:ascii="Symbol" w:hAnsi="Symbol" w:hint="default"/>
      </w:rPr>
    </w:lvl>
    <w:lvl w:ilvl="7" w:tplc="04250003" w:tentative="1">
      <w:start w:val="1"/>
      <w:numFmt w:val="bullet"/>
      <w:lvlText w:val="o"/>
      <w:lvlJc w:val="left"/>
      <w:pPr>
        <w:ind w:left="5823" w:hanging="360"/>
      </w:pPr>
      <w:rPr>
        <w:rFonts w:ascii="Courier New" w:hAnsi="Courier New" w:cs="Courier New" w:hint="default"/>
      </w:rPr>
    </w:lvl>
    <w:lvl w:ilvl="8" w:tplc="04250005" w:tentative="1">
      <w:start w:val="1"/>
      <w:numFmt w:val="bullet"/>
      <w:lvlText w:val=""/>
      <w:lvlJc w:val="left"/>
      <w:pPr>
        <w:ind w:left="6543" w:hanging="360"/>
      </w:pPr>
      <w:rPr>
        <w:rFonts w:ascii="Wingdings" w:hAnsi="Wingdings" w:hint="default"/>
      </w:rPr>
    </w:lvl>
  </w:abstractNum>
  <w:abstractNum w:abstractNumId="1" w15:restartNumberingAfterBreak="0">
    <w:nsid w:val="075E6104"/>
    <w:multiLevelType w:val="hybridMultilevel"/>
    <w:tmpl w:val="95961FFE"/>
    <w:lvl w:ilvl="0" w:tplc="0425000F">
      <w:start w:val="1"/>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2" w15:restartNumberingAfterBreak="0">
    <w:nsid w:val="095535D2"/>
    <w:multiLevelType w:val="hybridMultilevel"/>
    <w:tmpl w:val="77C2D360"/>
    <w:lvl w:ilvl="0" w:tplc="59E4DAE0">
      <w:start w:val="2"/>
      <w:numFmt w:val="bullet"/>
      <w:lvlText w:val="-"/>
      <w:lvlJc w:val="left"/>
      <w:pPr>
        <w:ind w:left="720" w:hanging="360"/>
      </w:pPr>
      <w:rPr>
        <w:rFonts w:ascii="Calibri" w:eastAsiaTheme="minorHAnsi"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0A76140F"/>
    <w:multiLevelType w:val="hybridMultilevel"/>
    <w:tmpl w:val="B45E26A0"/>
    <w:lvl w:ilvl="0" w:tplc="3A867B68">
      <w:start w:val="5"/>
      <w:numFmt w:val="bullet"/>
      <w:lvlText w:val="•"/>
      <w:lvlJc w:val="left"/>
      <w:pPr>
        <w:ind w:left="1065" w:hanging="705"/>
      </w:pPr>
      <w:rPr>
        <w:rFonts w:ascii="Calibri" w:eastAsia="Calibri" w:hAnsi="Calibri" w:cs="Calibri"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4" w15:restartNumberingAfterBreak="0">
    <w:nsid w:val="0AE82325"/>
    <w:multiLevelType w:val="hybridMultilevel"/>
    <w:tmpl w:val="F266D49C"/>
    <w:lvl w:ilvl="0" w:tplc="04250001">
      <w:start w:val="1"/>
      <w:numFmt w:val="bullet"/>
      <w:lvlText w:val=""/>
      <w:lvlJc w:val="left"/>
      <w:pPr>
        <w:ind w:left="777" w:hanging="360"/>
      </w:pPr>
      <w:rPr>
        <w:rFonts w:ascii="Symbol" w:hAnsi="Symbol" w:hint="default"/>
      </w:rPr>
    </w:lvl>
    <w:lvl w:ilvl="1" w:tplc="04250003" w:tentative="1">
      <w:start w:val="1"/>
      <w:numFmt w:val="bullet"/>
      <w:lvlText w:val="o"/>
      <w:lvlJc w:val="left"/>
      <w:pPr>
        <w:ind w:left="1497" w:hanging="360"/>
      </w:pPr>
      <w:rPr>
        <w:rFonts w:ascii="Courier New" w:hAnsi="Courier New" w:cs="Courier New" w:hint="default"/>
      </w:rPr>
    </w:lvl>
    <w:lvl w:ilvl="2" w:tplc="04250005" w:tentative="1">
      <w:start w:val="1"/>
      <w:numFmt w:val="bullet"/>
      <w:lvlText w:val=""/>
      <w:lvlJc w:val="left"/>
      <w:pPr>
        <w:ind w:left="2217" w:hanging="360"/>
      </w:pPr>
      <w:rPr>
        <w:rFonts w:ascii="Wingdings" w:hAnsi="Wingdings" w:hint="default"/>
      </w:rPr>
    </w:lvl>
    <w:lvl w:ilvl="3" w:tplc="04250001" w:tentative="1">
      <w:start w:val="1"/>
      <w:numFmt w:val="bullet"/>
      <w:lvlText w:val=""/>
      <w:lvlJc w:val="left"/>
      <w:pPr>
        <w:ind w:left="2937" w:hanging="360"/>
      </w:pPr>
      <w:rPr>
        <w:rFonts w:ascii="Symbol" w:hAnsi="Symbol" w:hint="default"/>
      </w:rPr>
    </w:lvl>
    <w:lvl w:ilvl="4" w:tplc="04250003" w:tentative="1">
      <w:start w:val="1"/>
      <w:numFmt w:val="bullet"/>
      <w:lvlText w:val="o"/>
      <w:lvlJc w:val="left"/>
      <w:pPr>
        <w:ind w:left="3657" w:hanging="360"/>
      </w:pPr>
      <w:rPr>
        <w:rFonts w:ascii="Courier New" w:hAnsi="Courier New" w:cs="Courier New" w:hint="default"/>
      </w:rPr>
    </w:lvl>
    <w:lvl w:ilvl="5" w:tplc="04250005" w:tentative="1">
      <w:start w:val="1"/>
      <w:numFmt w:val="bullet"/>
      <w:lvlText w:val=""/>
      <w:lvlJc w:val="left"/>
      <w:pPr>
        <w:ind w:left="4377" w:hanging="360"/>
      </w:pPr>
      <w:rPr>
        <w:rFonts w:ascii="Wingdings" w:hAnsi="Wingdings" w:hint="default"/>
      </w:rPr>
    </w:lvl>
    <w:lvl w:ilvl="6" w:tplc="04250001" w:tentative="1">
      <w:start w:val="1"/>
      <w:numFmt w:val="bullet"/>
      <w:lvlText w:val=""/>
      <w:lvlJc w:val="left"/>
      <w:pPr>
        <w:ind w:left="5097" w:hanging="360"/>
      </w:pPr>
      <w:rPr>
        <w:rFonts w:ascii="Symbol" w:hAnsi="Symbol" w:hint="default"/>
      </w:rPr>
    </w:lvl>
    <w:lvl w:ilvl="7" w:tplc="04250003" w:tentative="1">
      <w:start w:val="1"/>
      <w:numFmt w:val="bullet"/>
      <w:lvlText w:val="o"/>
      <w:lvlJc w:val="left"/>
      <w:pPr>
        <w:ind w:left="5817" w:hanging="360"/>
      </w:pPr>
      <w:rPr>
        <w:rFonts w:ascii="Courier New" w:hAnsi="Courier New" w:cs="Courier New" w:hint="default"/>
      </w:rPr>
    </w:lvl>
    <w:lvl w:ilvl="8" w:tplc="04250005" w:tentative="1">
      <w:start w:val="1"/>
      <w:numFmt w:val="bullet"/>
      <w:lvlText w:val=""/>
      <w:lvlJc w:val="left"/>
      <w:pPr>
        <w:ind w:left="6537" w:hanging="360"/>
      </w:pPr>
      <w:rPr>
        <w:rFonts w:ascii="Wingdings" w:hAnsi="Wingdings" w:hint="default"/>
      </w:rPr>
    </w:lvl>
  </w:abstractNum>
  <w:abstractNum w:abstractNumId="5" w15:restartNumberingAfterBreak="0">
    <w:nsid w:val="12C23E7C"/>
    <w:multiLevelType w:val="hybridMultilevel"/>
    <w:tmpl w:val="7E1C65E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291C5828"/>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AB47465"/>
    <w:multiLevelType w:val="hybridMultilevel"/>
    <w:tmpl w:val="2ECE05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36D54019"/>
    <w:multiLevelType w:val="hybridMultilevel"/>
    <w:tmpl w:val="9E4A1074"/>
    <w:lvl w:ilvl="0" w:tplc="9216DD18">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39FC2D29"/>
    <w:multiLevelType w:val="hybridMultilevel"/>
    <w:tmpl w:val="079660FE"/>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A6E3DF5"/>
    <w:multiLevelType w:val="hybridMultilevel"/>
    <w:tmpl w:val="B77A519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1" w15:restartNumberingAfterBreak="0">
    <w:nsid w:val="48E533AE"/>
    <w:multiLevelType w:val="hybridMultilevel"/>
    <w:tmpl w:val="39CA6F4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4C0525C3"/>
    <w:multiLevelType w:val="multilevel"/>
    <w:tmpl w:val="0425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13" w15:restartNumberingAfterBreak="0">
    <w:nsid w:val="569B3DEB"/>
    <w:multiLevelType w:val="hybridMultilevel"/>
    <w:tmpl w:val="544C80CA"/>
    <w:lvl w:ilvl="0" w:tplc="0425000F">
      <w:start w:val="1"/>
      <w:numFmt w:val="decimal"/>
      <w:lvlText w:val="%1."/>
      <w:lvlJc w:val="left"/>
      <w:pPr>
        <w:ind w:left="720" w:hanging="360"/>
      </w:pPr>
    </w:lvl>
    <w:lvl w:ilvl="1" w:tplc="04250019">
      <w:start w:val="1"/>
      <w:numFmt w:val="lowerLetter"/>
      <w:lvlText w:val="%2."/>
      <w:lvlJc w:val="left"/>
      <w:pPr>
        <w:ind w:left="1440" w:hanging="360"/>
      </w:pPr>
    </w:lvl>
    <w:lvl w:ilvl="2" w:tplc="0425001B">
      <w:start w:val="1"/>
      <w:numFmt w:val="lowerRoman"/>
      <w:lvlText w:val="%3."/>
      <w:lvlJc w:val="right"/>
      <w:pPr>
        <w:ind w:left="2160" w:hanging="180"/>
      </w:pPr>
    </w:lvl>
    <w:lvl w:ilvl="3" w:tplc="0425000F">
      <w:start w:val="1"/>
      <w:numFmt w:val="decimal"/>
      <w:lvlText w:val="%4."/>
      <w:lvlJc w:val="left"/>
      <w:pPr>
        <w:ind w:left="2880" w:hanging="360"/>
      </w:pPr>
    </w:lvl>
    <w:lvl w:ilvl="4" w:tplc="04250019">
      <w:start w:val="1"/>
      <w:numFmt w:val="lowerLetter"/>
      <w:lvlText w:val="%5."/>
      <w:lvlJc w:val="left"/>
      <w:pPr>
        <w:ind w:left="3600" w:hanging="360"/>
      </w:pPr>
    </w:lvl>
    <w:lvl w:ilvl="5" w:tplc="0425001B">
      <w:start w:val="1"/>
      <w:numFmt w:val="lowerRoman"/>
      <w:lvlText w:val="%6."/>
      <w:lvlJc w:val="right"/>
      <w:pPr>
        <w:ind w:left="4320" w:hanging="180"/>
      </w:pPr>
    </w:lvl>
    <w:lvl w:ilvl="6" w:tplc="0425000F">
      <w:start w:val="1"/>
      <w:numFmt w:val="decimal"/>
      <w:lvlText w:val="%7."/>
      <w:lvlJc w:val="left"/>
      <w:pPr>
        <w:ind w:left="5040" w:hanging="360"/>
      </w:pPr>
    </w:lvl>
    <w:lvl w:ilvl="7" w:tplc="04250019">
      <w:start w:val="1"/>
      <w:numFmt w:val="lowerLetter"/>
      <w:lvlText w:val="%8."/>
      <w:lvlJc w:val="left"/>
      <w:pPr>
        <w:ind w:left="5760" w:hanging="360"/>
      </w:pPr>
    </w:lvl>
    <w:lvl w:ilvl="8" w:tplc="0425001B">
      <w:start w:val="1"/>
      <w:numFmt w:val="lowerRoman"/>
      <w:lvlText w:val="%9."/>
      <w:lvlJc w:val="right"/>
      <w:pPr>
        <w:ind w:left="6480" w:hanging="180"/>
      </w:pPr>
    </w:lvl>
  </w:abstractNum>
  <w:abstractNum w:abstractNumId="14" w15:restartNumberingAfterBreak="0">
    <w:nsid w:val="5E9957E2"/>
    <w:multiLevelType w:val="multilevel"/>
    <w:tmpl w:val="8146C8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584F9C"/>
    <w:multiLevelType w:val="multilevel"/>
    <w:tmpl w:val="C3148E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6056229"/>
    <w:multiLevelType w:val="hybridMultilevel"/>
    <w:tmpl w:val="1D7EDE68"/>
    <w:lvl w:ilvl="0" w:tplc="04250019">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784C4A70"/>
    <w:multiLevelType w:val="multilevel"/>
    <w:tmpl w:val="EAC659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C5A5D9C"/>
    <w:multiLevelType w:val="hybridMultilevel"/>
    <w:tmpl w:val="00226B62"/>
    <w:lvl w:ilvl="0" w:tplc="34FACD06">
      <w:start w:val="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7F87331B"/>
    <w:multiLevelType w:val="hybridMultilevel"/>
    <w:tmpl w:val="A73634CC"/>
    <w:lvl w:ilvl="0" w:tplc="0425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609050039">
    <w:abstractNumId w:val="6"/>
  </w:num>
  <w:num w:numId="2" w16cid:durableId="1038311130">
    <w:abstractNumId w:val="12"/>
  </w:num>
  <w:num w:numId="3" w16cid:durableId="81653568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1510702">
    <w:abstractNumId w:val="8"/>
  </w:num>
  <w:num w:numId="5" w16cid:durableId="661739465">
    <w:abstractNumId w:val="9"/>
  </w:num>
  <w:num w:numId="6" w16cid:durableId="165484037">
    <w:abstractNumId w:val="11"/>
  </w:num>
  <w:num w:numId="7" w16cid:durableId="763259146">
    <w:abstractNumId w:val="4"/>
  </w:num>
  <w:num w:numId="8" w16cid:durableId="1871797466">
    <w:abstractNumId w:val="10"/>
  </w:num>
  <w:num w:numId="9" w16cid:durableId="1912764223">
    <w:abstractNumId w:val="0"/>
  </w:num>
  <w:num w:numId="10" w16cid:durableId="910776072">
    <w:abstractNumId w:val="19"/>
  </w:num>
  <w:num w:numId="11" w16cid:durableId="723019336">
    <w:abstractNumId w:val="5"/>
  </w:num>
  <w:num w:numId="12" w16cid:durableId="660736643">
    <w:abstractNumId w:val="16"/>
  </w:num>
  <w:num w:numId="13" w16cid:durableId="1106077436">
    <w:abstractNumId w:val="18"/>
  </w:num>
  <w:num w:numId="14" w16cid:durableId="2060008105">
    <w:abstractNumId w:val="7"/>
  </w:num>
  <w:num w:numId="15" w16cid:durableId="460925870">
    <w:abstractNumId w:val="2"/>
  </w:num>
  <w:num w:numId="16" w16cid:durableId="1039013714">
    <w:abstractNumId w:val="1"/>
  </w:num>
  <w:num w:numId="17" w16cid:durableId="988286032">
    <w:abstractNumId w:val="15"/>
  </w:num>
  <w:num w:numId="18" w16cid:durableId="1339314496">
    <w:abstractNumId w:val="17"/>
  </w:num>
  <w:num w:numId="19" w16cid:durableId="863329120">
    <w:abstractNumId w:val="14"/>
  </w:num>
  <w:num w:numId="20" w16cid:durableId="164053413">
    <w:abstractNumId w:val="3"/>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CC3"/>
    <w:rsid w:val="00002827"/>
    <w:rsid w:val="0000431B"/>
    <w:rsid w:val="00006196"/>
    <w:rsid w:val="00006EA5"/>
    <w:rsid w:val="000150ED"/>
    <w:rsid w:val="00015C40"/>
    <w:rsid w:val="0001693D"/>
    <w:rsid w:val="00017BB2"/>
    <w:rsid w:val="000201D4"/>
    <w:rsid w:val="00021299"/>
    <w:rsid w:val="00021B84"/>
    <w:rsid w:val="00031269"/>
    <w:rsid w:val="00033996"/>
    <w:rsid w:val="00034AE7"/>
    <w:rsid w:val="00035B31"/>
    <w:rsid w:val="00047B3A"/>
    <w:rsid w:val="00051DF3"/>
    <w:rsid w:val="000535A5"/>
    <w:rsid w:val="000554E1"/>
    <w:rsid w:val="000633C8"/>
    <w:rsid w:val="0009314F"/>
    <w:rsid w:val="000963F2"/>
    <w:rsid w:val="000A08F6"/>
    <w:rsid w:val="000A1D72"/>
    <w:rsid w:val="000A4A7E"/>
    <w:rsid w:val="000C21B9"/>
    <w:rsid w:val="000C4ABA"/>
    <w:rsid w:val="000D54BD"/>
    <w:rsid w:val="000E7F75"/>
    <w:rsid w:val="000F0C5D"/>
    <w:rsid w:val="000F1F90"/>
    <w:rsid w:val="001016B5"/>
    <w:rsid w:val="001053C4"/>
    <w:rsid w:val="00110703"/>
    <w:rsid w:val="001109FC"/>
    <w:rsid w:val="00116C24"/>
    <w:rsid w:val="001230CF"/>
    <w:rsid w:val="00124700"/>
    <w:rsid w:val="001253AE"/>
    <w:rsid w:val="00130622"/>
    <w:rsid w:val="001425AF"/>
    <w:rsid w:val="0014719E"/>
    <w:rsid w:val="00150027"/>
    <w:rsid w:val="00161EEC"/>
    <w:rsid w:val="00165B79"/>
    <w:rsid w:val="0016756F"/>
    <w:rsid w:val="00170FFC"/>
    <w:rsid w:val="001727FA"/>
    <w:rsid w:val="00187191"/>
    <w:rsid w:val="00187235"/>
    <w:rsid w:val="00187417"/>
    <w:rsid w:val="00193E99"/>
    <w:rsid w:val="001A51A1"/>
    <w:rsid w:val="001B178D"/>
    <w:rsid w:val="001B3DD7"/>
    <w:rsid w:val="001B41CD"/>
    <w:rsid w:val="001B70BE"/>
    <w:rsid w:val="001B71AD"/>
    <w:rsid w:val="001C24C5"/>
    <w:rsid w:val="001C5012"/>
    <w:rsid w:val="001C5440"/>
    <w:rsid w:val="001C5450"/>
    <w:rsid w:val="001D4C29"/>
    <w:rsid w:val="001D5164"/>
    <w:rsid w:val="001D78F0"/>
    <w:rsid w:val="001E361E"/>
    <w:rsid w:val="001E6390"/>
    <w:rsid w:val="001F0D09"/>
    <w:rsid w:val="001F18E6"/>
    <w:rsid w:val="001F3F82"/>
    <w:rsid w:val="001F41FF"/>
    <w:rsid w:val="001F4CD4"/>
    <w:rsid w:val="001F6E63"/>
    <w:rsid w:val="001F7CE8"/>
    <w:rsid w:val="002010C0"/>
    <w:rsid w:val="00201D5C"/>
    <w:rsid w:val="002034D3"/>
    <w:rsid w:val="002066D9"/>
    <w:rsid w:val="00221218"/>
    <w:rsid w:val="0022168B"/>
    <w:rsid w:val="00221893"/>
    <w:rsid w:val="002233A4"/>
    <w:rsid w:val="00227012"/>
    <w:rsid w:val="002333B9"/>
    <w:rsid w:val="002429A7"/>
    <w:rsid w:val="00253EAB"/>
    <w:rsid w:val="002553D9"/>
    <w:rsid w:val="00256187"/>
    <w:rsid w:val="00257E07"/>
    <w:rsid w:val="00260B0A"/>
    <w:rsid w:val="00264043"/>
    <w:rsid w:val="0026406C"/>
    <w:rsid w:val="00270316"/>
    <w:rsid w:val="00270D22"/>
    <w:rsid w:val="00282934"/>
    <w:rsid w:val="0028631C"/>
    <w:rsid w:val="00292F96"/>
    <w:rsid w:val="002A2BFD"/>
    <w:rsid w:val="002A5145"/>
    <w:rsid w:val="002A5995"/>
    <w:rsid w:val="002A7640"/>
    <w:rsid w:val="002B6A6D"/>
    <w:rsid w:val="002B79D4"/>
    <w:rsid w:val="002D54F6"/>
    <w:rsid w:val="002E32E9"/>
    <w:rsid w:val="002F727D"/>
    <w:rsid w:val="00303E89"/>
    <w:rsid w:val="003053BD"/>
    <w:rsid w:val="00317158"/>
    <w:rsid w:val="0032084D"/>
    <w:rsid w:val="003222D1"/>
    <w:rsid w:val="00324DD0"/>
    <w:rsid w:val="00332F65"/>
    <w:rsid w:val="00336EE9"/>
    <w:rsid w:val="00340C56"/>
    <w:rsid w:val="003424A4"/>
    <w:rsid w:val="00344579"/>
    <w:rsid w:val="00351634"/>
    <w:rsid w:val="003549DB"/>
    <w:rsid w:val="00360E6A"/>
    <w:rsid w:val="00361E0B"/>
    <w:rsid w:val="00362B54"/>
    <w:rsid w:val="00366EBC"/>
    <w:rsid w:val="00370C80"/>
    <w:rsid w:val="00371E94"/>
    <w:rsid w:val="00374361"/>
    <w:rsid w:val="00375AFA"/>
    <w:rsid w:val="00377195"/>
    <w:rsid w:val="00384C9D"/>
    <w:rsid w:val="00385E3F"/>
    <w:rsid w:val="00386360"/>
    <w:rsid w:val="00391A97"/>
    <w:rsid w:val="003930C9"/>
    <w:rsid w:val="00394995"/>
    <w:rsid w:val="003959E4"/>
    <w:rsid w:val="003A7DD6"/>
    <w:rsid w:val="003B0418"/>
    <w:rsid w:val="003B145A"/>
    <w:rsid w:val="003B1D4E"/>
    <w:rsid w:val="003B6A11"/>
    <w:rsid w:val="003B6A45"/>
    <w:rsid w:val="003C0B19"/>
    <w:rsid w:val="003C11AA"/>
    <w:rsid w:val="003C25A8"/>
    <w:rsid w:val="003C36EF"/>
    <w:rsid w:val="003C488A"/>
    <w:rsid w:val="003D4EC7"/>
    <w:rsid w:val="003E1299"/>
    <w:rsid w:val="003E3F66"/>
    <w:rsid w:val="003E4B7E"/>
    <w:rsid w:val="003E6183"/>
    <w:rsid w:val="003F5331"/>
    <w:rsid w:val="00413B19"/>
    <w:rsid w:val="00420F7B"/>
    <w:rsid w:val="00426907"/>
    <w:rsid w:val="004279BD"/>
    <w:rsid w:val="004300F2"/>
    <w:rsid w:val="00430DC6"/>
    <w:rsid w:val="004343AA"/>
    <w:rsid w:val="00434989"/>
    <w:rsid w:val="004422C1"/>
    <w:rsid w:val="004426A8"/>
    <w:rsid w:val="00444121"/>
    <w:rsid w:val="00445081"/>
    <w:rsid w:val="0044799E"/>
    <w:rsid w:val="00453805"/>
    <w:rsid w:val="00455F4B"/>
    <w:rsid w:val="00462AFF"/>
    <w:rsid w:val="004656C4"/>
    <w:rsid w:val="00472341"/>
    <w:rsid w:val="0047358E"/>
    <w:rsid w:val="00480E74"/>
    <w:rsid w:val="0048195C"/>
    <w:rsid w:val="00481983"/>
    <w:rsid w:val="00482A68"/>
    <w:rsid w:val="0048418C"/>
    <w:rsid w:val="00487FA1"/>
    <w:rsid w:val="004956A6"/>
    <w:rsid w:val="004A0B4F"/>
    <w:rsid w:val="004A1182"/>
    <w:rsid w:val="004A209C"/>
    <w:rsid w:val="004A4AE0"/>
    <w:rsid w:val="004A5398"/>
    <w:rsid w:val="004A6AE8"/>
    <w:rsid w:val="004A7B74"/>
    <w:rsid w:val="004B09A1"/>
    <w:rsid w:val="004B6170"/>
    <w:rsid w:val="004C065A"/>
    <w:rsid w:val="004C14A8"/>
    <w:rsid w:val="004C75CD"/>
    <w:rsid w:val="004D0C09"/>
    <w:rsid w:val="004D6297"/>
    <w:rsid w:val="004E240E"/>
    <w:rsid w:val="004E7013"/>
    <w:rsid w:val="004F006A"/>
    <w:rsid w:val="004F413C"/>
    <w:rsid w:val="00502C26"/>
    <w:rsid w:val="00504475"/>
    <w:rsid w:val="00505A02"/>
    <w:rsid w:val="00506142"/>
    <w:rsid w:val="00522E37"/>
    <w:rsid w:val="00526341"/>
    <w:rsid w:val="00526B09"/>
    <w:rsid w:val="00552220"/>
    <w:rsid w:val="00552CA7"/>
    <w:rsid w:val="00556B68"/>
    <w:rsid w:val="005601E3"/>
    <w:rsid w:val="00561FA2"/>
    <w:rsid w:val="00562873"/>
    <w:rsid w:val="00562B61"/>
    <w:rsid w:val="00581082"/>
    <w:rsid w:val="00582703"/>
    <w:rsid w:val="005931B6"/>
    <w:rsid w:val="00594CC3"/>
    <w:rsid w:val="00594F17"/>
    <w:rsid w:val="005957C7"/>
    <w:rsid w:val="005968BE"/>
    <w:rsid w:val="00596A29"/>
    <w:rsid w:val="005A4B58"/>
    <w:rsid w:val="005C5823"/>
    <w:rsid w:val="005C76B5"/>
    <w:rsid w:val="005D02EF"/>
    <w:rsid w:val="005D195D"/>
    <w:rsid w:val="005D1F4C"/>
    <w:rsid w:val="005D35E3"/>
    <w:rsid w:val="005D3D53"/>
    <w:rsid w:val="005D42F7"/>
    <w:rsid w:val="005E1389"/>
    <w:rsid w:val="005E24C0"/>
    <w:rsid w:val="005E3A7A"/>
    <w:rsid w:val="005E707F"/>
    <w:rsid w:val="005F107E"/>
    <w:rsid w:val="005F5191"/>
    <w:rsid w:val="00605176"/>
    <w:rsid w:val="006074E2"/>
    <w:rsid w:val="006121D5"/>
    <w:rsid w:val="00613D92"/>
    <w:rsid w:val="00614D85"/>
    <w:rsid w:val="00617852"/>
    <w:rsid w:val="00627A24"/>
    <w:rsid w:val="00633BE8"/>
    <w:rsid w:val="00643E89"/>
    <w:rsid w:val="00651D6F"/>
    <w:rsid w:val="00653E89"/>
    <w:rsid w:val="00660FFA"/>
    <w:rsid w:val="00662F16"/>
    <w:rsid w:val="006633D2"/>
    <w:rsid w:val="006642A1"/>
    <w:rsid w:val="00664558"/>
    <w:rsid w:val="006651EC"/>
    <w:rsid w:val="00666514"/>
    <w:rsid w:val="00673A2D"/>
    <w:rsid w:val="00680F3A"/>
    <w:rsid w:val="006833AE"/>
    <w:rsid w:val="00683A78"/>
    <w:rsid w:val="00686155"/>
    <w:rsid w:val="0068621B"/>
    <w:rsid w:val="0069432F"/>
    <w:rsid w:val="006956E9"/>
    <w:rsid w:val="006A24CD"/>
    <w:rsid w:val="006A41EE"/>
    <w:rsid w:val="006B32C6"/>
    <w:rsid w:val="006B39B0"/>
    <w:rsid w:val="006C1BAF"/>
    <w:rsid w:val="006C365B"/>
    <w:rsid w:val="006D0C3F"/>
    <w:rsid w:val="006D168C"/>
    <w:rsid w:val="006D7E75"/>
    <w:rsid w:val="006E322F"/>
    <w:rsid w:val="006E583D"/>
    <w:rsid w:val="006E5A99"/>
    <w:rsid w:val="006F42E6"/>
    <w:rsid w:val="006F7716"/>
    <w:rsid w:val="006F79AC"/>
    <w:rsid w:val="00700481"/>
    <w:rsid w:val="007051CE"/>
    <w:rsid w:val="00711F5C"/>
    <w:rsid w:val="00711FBD"/>
    <w:rsid w:val="00712CF1"/>
    <w:rsid w:val="007133DF"/>
    <w:rsid w:val="00717E42"/>
    <w:rsid w:val="007265F4"/>
    <w:rsid w:val="007277A9"/>
    <w:rsid w:val="0075604F"/>
    <w:rsid w:val="007578A4"/>
    <w:rsid w:val="00761F24"/>
    <w:rsid w:val="00771D6E"/>
    <w:rsid w:val="0078185D"/>
    <w:rsid w:val="0078240B"/>
    <w:rsid w:val="0078395B"/>
    <w:rsid w:val="00787C28"/>
    <w:rsid w:val="00792E69"/>
    <w:rsid w:val="00793E2C"/>
    <w:rsid w:val="00795118"/>
    <w:rsid w:val="007A05CB"/>
    <w:rsid w:val="007A7D95"/>
    <w:rsid w:val="007B74EF"/>
    <w:rsid w:val="007C28E2"/>
    <w:rsid w:val="007C586F"/>
    <w:rsid w:val="007D03DC"/>
    <w:rsid w:val="007D2AA5"/>
    <w:rsid w:val="007D3DB2"/>
    <w:rsid w:val="007E0633"/>
    <w:rsid w:val="007E290C"/>
    <w:rsid w:val="007E30DB"/>
    <w:rsid w:val="007E7214"/>
    <w:rsid w:val="007F4164"/>
    <w:rsid w:val="007F573A"/>
    <w:rsid w:val="007F5870"/>
    <w:rsid w:val="008075EF"/>
    <w:rsid w:val="00807FE0"/>
    <w:rsid w:val="00813F9D"/>
    <w:rsid w:val="00821CA1"/>
    <w:rsid w:val="00823249"/>
    <w:rsid w:val="00826886"/>
    <w:rsid w:val="0083023F"/>
    <w:rsid w:val="00831FA2"/>
    <w:rsid w:val="00832A3E"/>
    <w:rsid w:val="00837881"/>
    <w:rsid w:val="00843566"/>
    <w:rsid w:val="00844487"/>
    <w:rsid w:val="00845085"/>
    <w:rsid w:val="00851774"/>
    <w:rsid w:val="008531BB"/>
    <w:rsid w:val="008613B1"/>
    <w:rsid w:val="008708B0"/>
    <w:rsid w:val="00872E3A"/>
    <w:rsid w:val="00876C33"/>
    <w:rsid w:val="00880263"/>
    <w:rsid w:val="00887B31"/>
    <w:rsid w:val="008907B4"/>
    <w:rsid w:val="00892D56"/>
    <w:rsid w:val="0089566E"/>
    <w:rsid w:val="00896EE5"/>
    <w:rsid w:val="008A20C3"/>
    <w:rsid w:val="008B038D"/>
    <w:rsid w:val="008B1476"/>
    <w:rsid w:val="008C25D4"/>
    <w:rsid w:val="008C2843"/>
    <w:rsid w:val="008C6A1C"/>
    <w:rsid w:val="008C7F34"/>
    <w:rsid w:val="008D30E6"/>
    <w:rsid w:val="008D319E"/>
    <w:rsid w:val="008D5561"/>
    <w:rsid w:val="008E1639"/>
    <w:rsid w:val="008E574C"/>
    <w:rsid w:val="008F053D"/>
    <w:rsid w:val="008F2A6B"/>
    <w:rsid w:val="008F57FB"/>
    <w:rsid w:val="008F685F"/>
    <w:rsid w:val="008F6D6A"/>
    <w:rsid w:val="008F6EE1"/>
    <w:rsid w:val="00903628"/>
    <w:rsid w:val="009046AE"/>
    <w:rsid w:val="00906B9B"/>
    <w:rsid w:val="00906BBC"/>
    <w:rsid w:val="009104DE"/>
    <w:rsid w:val="00910D80"/>
    <w:rsid w:val="009157AD"/>
    <w:rsid w:val="009245A4"/>
    <w:rsid w:val="009270B7"/>
    <w:rsid w:val="00945CA1"/>
    <w:rsid w:val="00945F8B"/>
    <w:rsid w:val="00946B81"/>
    <w:rsid w:val="00957AC0"/>
    <w:rsid w:val="00964796"/>
    <w:rsid w:val="00964AEB"/>
    <w:rsid w:val="009651DC"/>
    <w:rsid w:val="0096687C"/>
    <w:rsid w:val="00977F90"/>
    <w:rsid w:val="00980674"/>
    <w:rsid w:val="0098412E"/>
    <w:rsid w:val="00985005"/>
    <w:rsid w:val="00987A4C"/>
    <w:rsid w:val="009900AC"/>
    <w:rsid w:val="009940F2"/>
    <w:rsid w:val="0099635C"/>
    <w:rsid w:val="00997A79"/>
    <w:rsid w:val="00997C87"/>
    <w:rsid w:val="009A01FC"/>
    <w:rsid w:val="009A5C57"/>
    <w:rsid w:val="009A5F33"/>
    <w:rsid w:val="009A61D1"/>
    <w:rsid w:val="009A6E0E"/>
    <w:rsid w:val="009B04A9"/>
    <w:rsid w:val="009B0BFE"/>
    <w:rsid w:val="009B5AEF"/>
    <w:rsid w:val="009C1C7D"/>
    <w:rsid w:val="009C53AB"/>
    <w:rsid w:val="009C67D9"/>
    <w:rsid w:val="009C7AF0"/>
    <w:rsid w:val="009D2EFE"/>
    <w:rsid w:val="009D40AC"/>
    <w:rsid w:val="009E0B45"/>
    <w:rsid w:val="009E1996"/>
    <w:rsid w:val="009E36A6"/>
    <w:rsid w:val="00A0138E"/>
    <w:rsid w:val="00A01485"/>
    <w:rsid w:val="00A01565"/>
    <w:rsid w:val="00A03127"/>
    <w:rsid w:val="00A1689A"/>
    <w:rsid w:val="00A17073"/>
    <w:rsid w:val="00A200B6"/>
    <w:rsid w:val="00A2181D"/>
    <w:rsid w:val="00A30DF8"/>
    <w:rsid w:val="00A31770"/>
    <w:rsid w:val="00A32E7D"/>
    <w:rsid w:val="00A35739"/>
    <w:rsid w:val="00A42D6E"/>
    <w:rsid w:val="00A516A1"/>
    <w:rsid w:val="00A557DD"/>
    <w:rsid w:val="00A70C60"/>
    <w:rsid w:val="00A739C2"/>
    <w:rsid w:val="00A76F34"/>
    <w:rsid w:val="00A7753A"/>
    <w:rsid w:val="00A8124D"/>
    <w:rsid w:val="00A839E2"/>
    <w:rsid w:val="00A83B2E"/>
    <w:rsid w:val="00A871C2"/>
    <w:rsid w:val="00A94E9A"/>
    <w:rsid w:val="00A95656"/>
    <w:rsid w:val="00AA17A0"/>
    <w:rsid w:val="00AB4D7B"/>
    <w:rsid w:val="00AC14DD"/>
    <w:rsid w:val="00AC32C2"/>
    <w:rsid w:val="00AC68A2"/>
    <w:rsid w:val="00AD00B9"/>
    <w:rsid w:val="00AD6056"/>
    <w:rsid w:val="00AD6E6D"/>
    <w:rsid w:val="00AE15C6"/>
    <w:rsid w:val="00AE3BC5"/>
    <w:rsid w:val="00AE7C43"/>
    <w:rsid w:val="00AF64E9"/>
    <w:rsid w:val="00AF7045"/>
    <w:rsid w:val="00B01710"/>
    <w:rsid w:val="00B038C0"/>
    <w:rsid w:val="00B12FCC"/>
    <w:rsid w:val="00B246CD"/>
    <w:rsid w:val="00B259AD"/>
    <w:rsid w:val="00B33CED"/>
    <w:rsid w:val="00B34A61"/>
    <w:rsid w:val="00B3715C"/>
    <w:rsid w:val="00B379D6"/>
    <w:rsid w:val="00B43ECF"/>
    <w:rsid w:val="00B571AB"/>
    <w:rsid w:val="00B61651"/>
    <w:rsid w:val="00B63DB2"/>
    <w:rsid w:val="00B66A0D"/>
    <w:rsid w:val="00B747B3"/>
    <w:rsid w:val="00B75381"/>
    <w:rsid w:val="00B771CD"/>
    <w:rsid w:val="00B774ED"/>
    <w:rsid w:val="00B85139"/>
    <w:rsid w:val="00B93010"/>
    <w:rsid w:val="00BA1D5C"/>
    <w:rsid w:val="00BA2644"/>
    <w:rsid w:val="00BA7F88"/>
    <w:rsid w:val="00BB172E"/>
    <w:rsid w:val="00BB193D"/>
    <w:rsid w:val="00BB23E0"/>
    <w:rsid w:val="00BB3B0E"/>
    <w:rsid w:val="00BB6DEC"/>
    <w:rsid w:val="00BC05DB"/>
    <w:rsid w:val="00BC3039"/>
    <w:rsid w:val="00BC42C9"/>
    <w:rsid w:val="00BD4D17"/>
    <w:rsid w:val="00BE11EE"/>
    <w:rsid w:val="00BE278C"/>
    <w:rsid w:val="00BE293A"/>
    <w:rsid w:val="00BE4F9F"/>
    <w:rsid w:val="00BF2F41"/>
    <w:rsid w:val="00BF5167"/>
    <w:rsid w:val="00C011CF"/>
    <w:rsid w:val="00C01D08"/>
    <w:rsid w:val="00C023F7"/>
    <w:rsid w:val="00C05485"/>
    <w:rsid w:val="00C05F2E"/>
    <w:rsid w:val="00C15DFD"/>
    <w:rsid w:val="00C15EAB"/>
    <w:rsid w:val="00C161FD"/>
    <w:rsid w:val="00C17D0B"/>
    <w:rsid w:val="00C372BB"/>
    <w:rsid w:val="00C4169E"/>
    <w:rsid w:val="00C42421"/>
    <w:rsid w:val="00C4339A"/>
    <w:rsid w:val="00C4763A"/>
    <w:rsid w:val="00C53FDD"/>
    <w:rsid w:val="00C55FEE"/>
    <w:rsid w:val="00C61C42"/>
    <w:rsid w:val="00C65D10"/>
    <w:rsid w:val="00C6733E"/>
    <w:rsid w:val="00C6787B"/>
    <w:rsid w:val="00C73861"/>
    <w:rsid w:val="00C740FB"/>
    <w:rsid w:val="00C82B69"/>
    <w:rsid w:val="00C856A4"/>
    <w:rsid w:val="00C90A2A"/>
    <w:rsid w:val="00C93547"/>
    <w:rsid w:val="00C957AE"/>
    <w:rsid w:val="00C95EE3"/>
    <w:rsid w:val="00C97CBA"/>
    <w:rsid w:val="00CA2733"/>
    <w:rsid w:val="00CA5938"/>
    <w:rsid w:val="00CA5BE3"/>
    <w:rsid w:val="00CB0474"/>
    <w:rsid w:val="00CB77E9"/>
    <w:rsid w:val="00CC1196"/>
    <w:rsid w:val="00CC2A11"/>
    <w:rsid w:val="00CC4517"/>
    <w:rsid w:val="00CC7B3C"/>
    <w:rsid w:val="00CD192F"/>
    <w:rsid w:val="00CD32ED"/>
    <w:rsid w:val="00CE38E9"/>
    <w:rsid w:val="00CE7330"/>
    <w:rsid w:val="00CF099A"/>
    <w:rsid w:val="00CF2A37"/>
    <w:rsid w:val="00CF3DE3"/>
    <w:rsid w:val="00CF6180"/>
    <w:rsid w:val="00CF6AEE"/>
    <w:rsid w:val="00D0622D"/>
    <w:rsid w:val="00D07C3E"/>
    <w:rsid w:val="00D10A80"/>
    <w:rsid w:val="00D1206E"/>
    <w:rsid w:val="00D1469C"/>
    <w:rsid w:val="00D268A6"/>
    <w:rsid w:val="00D27AF1"/>
    <w:rsid w:val="00D30391"/>
    <w:rsid w:val="00D33C4A"/>
    <w:rsid w:val="00D3699E"/>
    <w:rsid w:val="00D36C1B"/>
    <w:rsid w:val="00D4022D"/>
    <w:rsid w:val="00D41820"/>
    <w:rsid w:val="00D43197"/>
    <w:rsid w:val="00D460B3"/>
    <w:rsid w:val="00D461FA"/>
    <w:rsid w:val="00D462D0"/>
    <w:rsid w:val="00D47CB6"/>
    <w:rsid w:val="00D518D1"/>
    <w:rsid w:val="00D52363"/>
    <w:rsid w:val="00D60CF0"/>
    <w:rsid w:val="00D61500"/>
    <w:rsid w:val="00D64C53"/>
    <w:rsid w:val="00D66882"/>
    <w:rsid w:val="00D679EB"/>
    <w:rsid w:val="00D7123C"/>
    <w:rsid w:val="00D71C02"/>
    <w:rsid w:val="00D74A81"/>
    <w:rsid w:val="00D80305"/>
    <w:rsid w:val="00D905C2"/>
    <w:rsid w:val="00DA1253"/>
    <w:rsid w:val="00DA3742"/>
    <w:rsid w:val="00DA4C1A"/>
    <w:rsid w:val="00DA62D6"/>
    <w:rsid w:val="00DA6F18"/>
    <w:rsid w:val="00DB3A09"/>
    <w:rsid w:val="00DB7B7D"/>
    <w:rsid w:val="00DC01F7"/>
    <w:rsid w:val="00DC0BCC"/>
    <w:rsid w:val="00DC60EB"/>
    <w:rsid w:val="00DD23AE"/>
    <w:rsid w:val="00DD3706"/>
    <w:rsid w:val="00DD64BE"/>
    <w:rsid w:val="00DE48C6"/>
    <w:rsid w:val="00DE5AE9"/>
    <w:rsid w:val="00DE6AAF"/>
    <w:rsid w:val="00DE6F4C"/>
    <w:rsid w:val="00DF3FAF"/>
    <w:rsid w:val="00DF5469"/>
    <w:rsid w:val="00E04D6F"/>
    <w:rsid w:val="00E06DAD"/>
    <w:rsid w:val="00E17057"/>
    <w:rsid w:val="00E17EA5"/>
    <w:rsid w:val="00E21D77"/>
    <w:rsid w:val="00E2267B"/>
    <w:rsid w:val="00E26E06"/>
    <w:rsid w:val="00E27F7E"/>
    <w:rsid w:val="00E33857"/>
    <w:rsid w:val="00E36CC4"/>
    <w:rsid w:val="00E4717B"/>
    <w:rsid w:val="00E5299A"/>
    <w:rsid w:val="00E53A05"/>
    <w:rsid w:val="00E62419"/>
    <w:rsid w:val="00E6600C"/>
    <w:rsid w:val="00E7370E"/>
    <w:rsid w:val="00E81E76"/>
    <w:rsid w:val="00E82382"/>
    <w:rsid w:val="00E83428"/>
    <w:rsid w:val="00E845CD"/>
    <w:rsid w:val="00E85B44"/>
    <w:rsid w:val="00E87B66"/>
    <w:rsid w:val="00E9366E"/>
    <w:rsid w:val="00E94F7C"/>
    <w:rsid w:val="00E97BCB"/>
    <w:rsid w:val="00EA26A2"/>
    <w:rsid w:val="00EA63FE"/>
    <w:rsid w:val="00EB0E3A"/>
    <w:rsid w:val="00EB1E55"/>
    <w:rsid w:val="00EB6332"/>
    <w:rsid w:val="00EB7B84"/>
    <w:rsid w:val="00EC2786"/>
    <w:rsid w:val="00EC2A36"/>
    <w:rsid w:val="00EC36CC"/>
    <w:rsid w:val="00EC3FD3"/>
    <w:rsid w:val="00EC479A"/>
    <w:rsid w:val="00EC6D27"/>
    <w:rsid w:val="00EC6DFE"/>
    <w:rsid w:val="00EC7AC9"/>
    <w:rsid w:val="00EC7EF8"/>
    <w:rsid w:val="00ED25B5"/>
    <w:rsid w:val="00ED6216"/>
    <w:rsid w:val="00ED62CA"/>
    <w:rsid w:val="00EE2CC4"/>
    <w:rsid w:val="00EF052B"/>
    <w:rsid w:val="00F076A3"/>
    <w:rsid w:val="00F15FDC"/>
    <w:rsid w:val="00F175CC"/>
    <w:rsid w:val="00F2191D"/>
    <w:rsid w:val="00F225E4"/>
    <w:rsid w:val="00F22953"/>
    <w:rsid w:val="00F229D5"/>
    <w:rsid w:val="00F239C8"/>
    <w:rsid w:val="00F23E4A"/>
    <w:rsid w:val="00F37943"/>
    <w:rsid w:val="00F407A8"/>
    <w:rsid w:val="00F409DD"/>
    <w:rsid w:val="00F43820"/>
    <w:rsid w:val="00F45348"/>
    <w:rsid w:val="00F45852"/>
    <w:rsid w:val="00F546DB"/>
    <w:rsid w:val="00F55AE9"/>
    <w:rsid w:val="00F56A1A"/>
    <w:rsid w:val="00F621A5"/>
    <w:rsid w:val="00F66471"/>
    <w:rsid w:val="00F66D46"/>
    <w:rsid w:val="00F74FDF"/>
    <w:rsid w:val="00F801D8"/>
    <w:rsid w:val="00F82EF7"/>
    <w:rsid w:val="00F8643E"/>
    <w:rsid w:val="00F86E5B"/>
    <w:rsid w:val="00F90924"/>
    <w:rsid w:val="00F90D59"/>
    <w:rsid w:val="00FB0A40"/>
    <w:rsid w:val="00FB1BF5"/>
    <w:rsid w:val="00FB3152"/>
    <w:rsid w:val="00FB4F3D"/>
    <w:rsid w:val="00FB7324"/>
    <w:rsid w:val="00FC1279"/>
    <w:rsid w:val="00FC1893"/>
    <w:rsid w:val="00FC2A92"/>
    <w:rsid w:val="00FC4DCF"/>
    <w:rsid w:val="00FC73E8"/>
    <w:rsid w:val="00FD7888"/>
    <w:rsid w:val="00FE05F1"/>
    <w:rsid w:val="00FE11BE"/>
    <w:rsid w:val="00FE5770"/>
    <w:rsid w:val="00FE6002"/>
    <w:rsid w:val="00FE788C"/>
    <w:rsid w:val="00FE793B"/>
    <w:rsid w:val="00FF0FCD"/>
    <w:rsid w:val="00FF39D3"/>
    <w:rsid w:val="00FF66B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681E7"/>
  <w15:docId w15:val="{78A55541-5A5C-40A1-B4DF-115B501B5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94CC3"/>
    <w:pPr>
      <w:tabs>
        <w:tab w:val="center" w:pos="4536"/>
        <w:tab w:val="right" w:pos="9072"/>
      </w:tabs>
    </w:pPr>
  </w:style>
  <w:style w:type="paragraph" w:styleId="Footer">
    <w:name w:val="footer"/>
    <w:basedOn w:val="Normal"/>
    <w:rsid w:val="00594CC3"/>
    <w:pPr>
      <w:tabs>
        <w:tab w:val="center" w:pos="4536"/>
        <w:tab w:val="right" w:pos="9072"/>
      </w:tabs>
    </w:pPr>
  </w:style>
  <w:style w:type="paragraph" w:customStyle="1" w:styleId="BasicParagraph">
    <w:name w:val="[Basic Paragraph]"/>
    <w:basedOn w:val="Normal"/>
    <w:rsid w:val="00594CC3"/>
    <w:pPr>
      <w:autoSpaceDE w:val="0"/>
      <w:autoSpaceDN w:val="0"/>
      <w:adjustRightInd w:val="0"/>
      <w:spacing w:line="288" w:lineRule="auto"/>
      <w:textAlignment w:val="center"/>
    </w:pPr>
    <w:rPr>
      <w:color w:val="000000"/>
      <w:lang w:val="en-US"/>
    </w:rPr>
  </w:style>
  <w:style w:type="character" w:styleId="CommentReference">
    <w:name w:val="annotation reference"/>
    <w:uiPriority w:val="99"/>
    <w:rsid w:val="00A17073"/>
    <w:rPr>
      <w:sz w:val="16"/>
      <w:szCs w:val="16"/>
    </w:rPr>
  </w:style>
  <w:style w:type="paragraph" w:styleId="CommentText">
    <w:name w:val="annotation text"/>
    <w:basedOn w:val="Normal"/>
    <w:link w:val="CommentTextChar"/>
    <w:uiPriority w:val="99"/>
    <w:rsid w:val="00A17073"/>
    <w:rPr>
      <w:sz w:val="20"/>
      <w:szCs w:val="20"/>
    </w:rPr>
  </w:style>
  <w:style w:type="character" w:customStyle="1" w:styleId="CommentTextChar">
    <w:name w:val="Comment Text Char"/>
    <w:basedOn w:val="DefaultParagraphFont"/>
    <w:link w:val="CommentText"/>
    <w:uiPriority w:val="99"/>
    <w:rsid w:val="00A17073"/>
  </w:style>
  <w:style w:type="paragraph" w:styleId="CommentSubject">
    <w:name w:val="annotation subject"/>
    <w:basedOn w:val="CommentText"/>
    <w:next w:val="CommentText"/>
    <w:link w:val="CommentSubjectChar"/>
    <w:rsid w:val="00A17073"/>
    <w:rPr>
      <w:b/>
      <w:bCs/>
    </w:rPr>
  </w:style>
  <w:style w:type="character" w:customStyle="1" w:styleId="CommentSubjectChar">
    <w:name w:val="Comment Subject Char"/>
    <w:link w:val="CommentSubject"/>
    <w:rsid w:val="00A17073"/>
    <w:rPr>
      <w:b/>
      <w:bCs/>
    </w:rPr>
  </w:style>
  <w:style w:type="paragraph" w:styleId="BalloonText">
    <w:name w:val="Balloon Text"/>
    <w:basedOn w:val="Normal"/>
    <w:link w:val="BalloonTextChar"/>
    <w:rsid w:val="00A17073"/>
    <w:rPr>
      <w:rFonts w:ascii="Tahoma" w:hAnsi="Tahoma" w:cs="Tahoma"/>
      <w:sz w:val="16"/>
      <w:szCs w:val="16"/>
    </w:rPr>
  </w:style>
  <w:style w:type="character" w:customStyle="1" w:styleId="BalloonTextChar">
    <w:name w:val="Balloon Text Char"/>
    <w:link w:val="BalloonText"/>
    <w:rsid w:val="00A17073"/>
    <w:rPr>
      <w:rFonts w:ascii="Tahoma" w:hAnsi="Tahoma" w:cs="Tahoma"/>
      <w:sz w:val="16"/>
      <w:szCs w:val="16"/>
    </w:rPr>
  </w:style>
  <w:style w:type="paragraph" w:styleId="ListParagraph">
    <w:name w:val="List Paragraph"/>
    <w:basedOn w:val="Normal"/>
    <w:uiPriority w:val="34"/>
    <w:qFormat/>
    <w:rsid w:val="00502C26"/>
    <w:pPr>
      <w:ind w:left="720"/>
    </w:pPr>
    <w:rPr>
      <w:rFonts w:ascii="Calibri" w:eastAsia="Calibri" w:hAnsi="Calibri"/>
      <w:sz w:val="22"/>
      <w:szCs w:val="22"/>
      <w:lang w:eastAsia="en-US"/>
    </w:rPr>
  </w:style>
  <w:style w:type="character" w:customStyle="1" w:styleId="ng-binding">
    <w:name w:val="ng-binding"/>
    <w:basedOn w:val="DefaultParagraphFont"/>
    <w:rsid w:val="004656C4"/>
  </w:style>
  <w:style w:type="paragraph" w:customStyle="1" w:styleId="Default">
    <w:name w:val="Default"/>
    <w:rsid w:val="00187191"/>
    <w:pPr>
      <w:autoSpaceDE w:val="0"/>
      <w:autoSpaceDN w:val="0"/>
      <w:adjustRightInd w:val="0"/>
    </w:pPr>
    <w:rPr>
      <w:color w:val="000000"/>
      <w:sz w:val="24"/>
      <w:szCs w:val="24"/>
    </w:rPr>
  </w:style>
  <w:style w:type="character" w:styleId="Hyperlink">
    <w:name w:val="Hyperlink"/>
    <w:basedOn w:val="DefaultParagraphFont"/>
    <w:uiPriority w:val="99"/>
    <w:unhideWhenUsed/>
    <w:rsid w:val="009104DE"/>
    <w:rPr>
      <w:color w:val="0000FF" w:themeColor="hyperlink"/>
      <w:u w:val="single"/>
    </w:rPr>
  </w:style>
  <w:style w:type="character" w:styleId="UnresolvedMention">
    <w:name w:val="Unresolved Mention"/>
    <w:basedOn w:val="DefaultParagraphFont"/>
    <w:uiPriority w:val="99"/>
    <w:semiHidden/>
    <w:unhideWhenUsed/>
    <w:rsid w:val="009104DE"/>
    <w:rPr>
      <w:color w:val="605E5C"/>
      <w:shd w:val="clear" w:color="auto" w:fill="E1DFDD"/>
    </w:rPr>
  </w:style>
  <w:style w:type="paragraph" w:styleId="BodyText">
    <w:name w:val="Body Text"/>
    <w:basedOn w:val="Normal"/>
    <w:link w:val="BodyTextChar"/>
    <w:uiPriority w:val="99"/>
    <w:rsid w:val="00F801D8"/>
    <w:pPr>
      <w:spacing w:after="220" w:line="180" w:lineRule="atLeast"/>
      <w:jc w:val="both"/>
    </w:pPr>
    <w:rPr>
      <w:rFonts w:ascii="Arial" w:hAnsi="Arial"/>
      <w:spacing w:val="-5"/>
      <w:sz w:val="20"/>
      <w:szCs w:val="20"/>
      <w:lang w:val="en-US" w:eastAsia="en-US"/>
    </w:rPr>
  </w:style>
  <w:style w:type="character" w:customStyle="1" w:styleId="BodyTextChar">
    <w:name w:val="Body Text Char"/>
    <w:basedOn w:val="DefaultParagraphFont"/>
    <w:link w:val="BodyText"/>
    <w:uiPriority w:val="99"/>
    <w:rsid w:val="00F801D8"/>
    <w:rPr>
      <w:rFonts w:ascii="Arial" w:hAnsi="Arial"/>
      <w:spacing w:val="-5"/>
      <w:lang w:val="en-US" w:eastAsia="en-US"/>
    </w:rPr>
  </w:style>
  <w:style w:type="character" w:customStyle="1" w:styleId="apple-converted-space">
    <w:name w:val="apple-converted-space"/>
    <w:basedOn w:val="DefaultParagraphFont"/>
    <w:rsid w:val="00F801D8"/>
  </w:style>
  <w:style w:type="paragraph" w:styleId="Revision">
    <w:name w:val="Revision"/>
    <w:hidden/>
    <w:uiPriority w:val="99"/>
    <w:semiHidden/>
    <w:rsid w:val="006D7E75"/>
    <w:rPr>
      <w:sz w:val="24"/>
      <w:szCs w:val="24"/>
    </w:rPr>
  </w:style>
  <w:style w:type="character" w:styleId="Mention">
    <w:name w:val="Mention"/>
    <w:basedOn w:val="DefaultParagraphFont"/>
    <w:uiPriority w:val="99"/>
    <w:unhideWhenUsed/>
    <w:rsid w:val="009A5F33"/>
    <w:rPr>
      <w:color w:val="2B579A"/>
      <w:shd w:val="clear" w:color="auto" w:fill="E1DFDD"/>
    </w:rPr>
  </w:style>
  <w:style w:type="paragraph" w:styleId="Title">
    <w:name w:val="Title"/>
    <w:basedOn w:val="Normal"/>
    <w:next w:val="Normal"/>
    <w:link w:val="TitleChar"/>
    <w:qFormat/>
    <w:rsid w:val="0025618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256187"/>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33800">
      <w:bodyDiv w:val="1"/>
      <w:marLeft w:val="0"/>
      <w:marRight w:val="0"/>
      <w:marTop w:val="0"/>
      <w:marBottom w:val="0"/>
      <w:divBdr>
        <w:top w:val="none" w:sz="0" w:space="0" w:color="auto"/>
        <w:left w:val="none" w:sz="0" w:space="0" w:color="auto"/>
        <w:bottom w:val="none" w:sz="0" w:space="0" w:color="auto"/>
        <w:right w:val="none" w:sz="0" w:space="0" w:color="auto"/>
      </w:divBdr>
    </w:div>
    <w:div w:id="361176833">
      <w:bodyDiv w:val="1"/>
      <w:marLeft w:val="0"/>
      <w:marRight w:val="0"/>
      <w:marTop w:val="0"/>
      <w:marBottom w:val="0"/>
      <w:divBdr>
        <w:top w:val="none" w:sz="0" w:space="0" w:color="auto"/>
        <w:left w:val="none" w:sz="0" w:space="0" w:color="auto"/>
        <w:bottom w:val="none" w:sz="0" w:space="0" w:color="auto"/>
        <w:right w:val="none" w:sz="0" w:space="0" w:color="auto"/>
      </w:divBdr>
    </w:div>
    <w:div w:id="600643013">
      <w:bodyDiv w:val="1"/>
      <w:marLeft w:val="0"/>
      <w:marRight w:val="0"/>
      <w:marTop w:val="0"/>
      <w:marBottom w:val="0"/>
      <w:divBdr>
        <w:top w:val="none" w:sz="0" w:space="0" w:color="auto"/>
        <w:left w:val="none" w:sz="0" w:space="0" w:color="auto"/>
        <w:bottom w:val="none" w:sz="0" w:space="0" w:color="auto"/>
        <w:right w:val="none" w:sz="0" w:space="0" w:color="auto"/>
      </w:divBdr>
      <w:divsChild>
        <w:div w:id="72513815">
          <w:marLeft w:val="0"/>
          <w:marRight w:val="0"/>
          <w:marTop w:val="0"/>
          <w:marBottom w:val="0"/>
          <w:divBdr>
            <w:top w:val="none" w:sz="0" w:space="0" w:color="auto"/>
            <w:left w:val="none" w:sz="0" w:space="0" w:color="auto"/>
            <w:bottom w:val="none" w:sz="0" w:space="0" w:color="auto"/>
            <w:right w:val="none" w:sz="0" w:space="0" w:color="auto"/>
          </w:divBdr>
        </w:div>
        <w:div w:id="355620380">
          <w:marLeft w:val="0"/>
          <w:marRight w:val="0"/>
          <w:marTop w:val="0"/>
          <w:marBottom w:val="0"/>
          <w:divBdr>
            <w:top w:val="none" w:sz="0" w:space="0" w:color="auto"/>
            <w:left w:val="none" w:sz="0" w:space="0" w:color="auto"/>
            <w:bottom w:val="none" w:sz="0" w:space="0" w:color="auto"/>
            <w:right w:val="none" w:sz="0" w:space="0" w:color="auto"/>
          </w:divBdr>
        </w:div>
        <w:div w:id="1606304972">
          <w:marLeft w:val="0"/>
          <w:marRight w:val="0"/>
          <w:marTop w:val="0"/>
          <w:marBottom w:val="0"/>
          <w:divBdr>
            <w:top w:val="none" w:sz="0" w:space="0" w:color="auto"/>
            <w:left w:val="none" w:sz="0" w:space="0" w:color="auto"/>
            <w:bottom w:val="none" w:sz="0" w:space="0" w:color="auto"/>
            <w:right w:val="none" w:sz="0" w:space="0" w:color="auto"/>
          </w:divBdr>
        </w:div>
      </w:divsChild>
    </w:div>
    <w:div w:id="918447478">
      <w:bodyDiv w:val="1"/>
      <w:marLeft w:val="0"/>
      <w:marRight w:val="0"/>
      <w:marTop w:val="0"/>
      <w:marBottom w:val="0"/>
      <w:divBdr>
        <w:top w:val="none" w:sz="0" w:space="0" w:color="auto"/>
        <w:left w:val="none" w:sz="0" w:space="0" w:color="auto"/>
        <w:bottom w:val="none" w:sz="0" w:space="0" w:color="auto"/>
        <w:right w:val="none" w:sz="0" w:space="0" w:color="auto"/>
      </w:divBdr>
    </w:div>
    <w:div w:id="998532740">
      <w:bodyDiv w:val="1"/>
      <w:marLeft w:val="0"/>
      <w:marRight w:val="0"/>
      <w:marTop w:val="0"/>
      <w:marBottom w:val="0"/>
      <w:divBdr>
        <w:top w:val="none" w:sz="0" w:space="0" w:color="auto"/>
        <w:left w:val="none" w:sz="0" w:space="0" w:color="auto"/>
        <w:bottom w:val="none" w:sz="0" w:space="0" w:color="auto"/>
        <w:right w:val="none" w:sz="0" w:space="0" w:color="auto"/>
      </w:divBdr>
      <w:divsChild>
        <w:div w:id="418255114">
          <w:marLeft w:val="0"/>
          <w:marRight w:val="0"/>
          <w:marTop w:val="0"/>
          <w:marBottom w:val="0"/>
          <w:divBdr>
            <w:top w:val="none" w:sz="0" w:space="0" w:color="auto"/>
            <w:left w:val="none" w:sz="0" w:space="0" w:color="auto"/>
            <w:bottom w:val="none" w:sz="0" w:space="0" w:color="auto"/>
            <w:right w:val="none" w:sz="0" w:space="0" w:color="auto"/>
          </w:divBdr>
        </w:div>
        <w:div w:id="841236518">
          <w:marLeft w:val="0"/>
          <w:marRight w:val="0"/>
          <w:marTop w:val="0"/>
          <w:marBottom w:val="0"/>
          <w:divBdr>
            <w:top w:val="none" w:sz="0" w:space="0" w:color="auto"/>
            <w:left w:val="none" w:sz="0" w:space="0" w:color="auto"/>
            <w:bottom w:val="none" w:sz="0" w:space="0" w:color="auto"/>
            <w:right w:val="none" w:sz="0" w:space="0" w:color="auto"/>
          </w:divBdr>
        </w:div>
        <w:div w:id="997659421">
          <w:marLeft w:val="0"/>
          <w:marRight w:val="0"/>
          <w:marTop w:val="0"/>
          <w:marBottom w:val="0"/>
          <w:divBdr>
            <w:top w:val="none" w:sz="0" w:space="0" w:color="auto"/>
            <w:left w:val="none" w:sz="0" w:space="0" w:color="auto"/>
            <w:bottom w:val="none" w:sz="0" w:space="0" w:color="auto"/>
            <w:right w:val="none" w:sz="0" w:space="0" w:color="auto"/>
          </w:divBdr>
        </w:div>
      </w:divsChild>
    </w:div>
    <w:div w:id="1152914175">
      <w:bodyDiv w:val="1"/>
      <w:marLeft w:val="0"/>
      <w:marRight w:val="0"/>
      <w:marTop w:val="0"/>
      <w:marBottom w:val="0"/>
      <w:divBdr>
        <w:top w:val="none" w:sz="0" w:space="0" w:color="auto"/>
        <w:left w:val="none" w:sz="0" w:space="0" w:color="auto"/>
        <w:bottom w:val="none" w:sz="0" w:space="0" w:color="auto"/>
        <w:right w:val="none" w:sz="0" w:space="0" w:color="auto"/>
      </w:divBdr>
    </w:div>
    <w:div w:id="1393775314">
      <w:bodyDiv w:val="1"/>
      <w:marLeft w:val="0"/>
      <w:marRight w:val="0"/>
      <w:marTop w:val="0"/>
      <w:marBottom w:val="0"/>
      <w:divBdr>
        <w:top w:val="none" w:sz="0" w:space="0" w:color="auto"/>
        <w:left w:val="none" w:sz="0" w:space="0" w:color="auto"/>
        <w:bottom w:val="none" w:sz="0" w:space="0" w:color="auto"/>
        <w:right w:val="none" w:sz="0" w:space="0" w:color="auto"/>
      </w:divBdr>
    </w:div>
    <w:div w:id="1526400434">
      <w:bodyDiv w:val="1"/>
      <w:marLeft w:val="0"/>
      <w:marRight w:val="0"/>
      <w:marTop w:val="0"/>
      <w:marBottom w:val="0"/>
      <w:divBdr>
        <w:top w:val="none" w:sz="0" w:space="0" w:color="auto"/>
        <w:left w:val="none" w:sz="0" w:space="0" w:color="auto"/>
        <w:bottom w:val="none" w:sz="0" w:space="0" w:color="auto"/>
        <w:right w:val="none" w:sz="0" w:space="0" w:color="auto"/>
      </w:divBdr>
    </w:div>
    <w:div w:id="204683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ema xmlns="e31ff916-cf36-4815-8f59-066548a5c626"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34F7C42AFDE88A40B5DE8F8C6561BF28" ma:contentTypeVersion="7" ma:contentTypeDescription="Create a new document." ma:contentTypeScope="" ma:versionID="be041c5943c83cfed84beedebad67400">
  <xsd:schema xmlns:xsd="http://www.w3.org/2001/XMLSchema" xmlns:xs="http://www.w3.org/2001/XMLSchema" xmlns:p="http://schemas.microsoft.com/office/2006/metadata/properties" xmlns:ns2="e31ff916-cf36-4815-8f59-066548a5c626" xmlns:ns3="76a396e9-683e-4e80-a146-12c21ed12d13" targetNamespace="http://schemas.microsoft.com/office/2006/metadata/properties" ma:root="true" ma:fieldsID="7afeb8eaeb3d96af316642da8beddf1b" ns2:_="" ns3:_="">
    <xsd:import namespace="e31ff916-cf36-4815-8f59-066548a5c626"/>
    <xsd:import namespace="76a396e9-683e-4e80-a146-12c21ed12d13"/>
    <xsd:element name="properties">
      <xsd:complexType>
        <xsd:sequence>
          <xsd:element name="documentManagement">
            <xsd:complexType>
              <xsd:all>
                <xsd:element ref="ns2:MediaServiceMetadata" minOccurs="0"/>
                <xsd:element ref="ns2:MediaServiceFastMetadata" minOccurs="0"/>
                <xsd:element ref="ns2:Teem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1ff916-cf36-4815-8f59-066548a5c6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Teema" ma:index="10" nillable="true" ma:displayName="Teema" ma:format="Dropdown" ma:internalName="Teema">
      <xsd:simpleType>
        <xsd:restriction base="dms:Choice">
          <xsd:enumeration value="Projektide koosolekud"/>
          <xsd:enumeration value="Kirjad"/>
          <xsd:enumeration value="Memod"/>
          <xsd:enumeration value="Vormid"/>
          <xsd:enumeration value="SE696"/>
        </xsd:restrictio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a396e9-683e-4e80-a146-12c21ed12d13"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D24726-93BD-41A6-B7BD-C4F205BA78DC}">
  <ds:schemaRefs>
    <ds:schemaRef ds:uri="http://schemas.microsoft.com/office/2006/metadata/properties"/>
    <ds:schemaRef ds:uri="http://schemas.microsoft.com/office/infopath/2007/PartnerControls"/>
    <ds:schemaRef ds:uri="e31ff916-cf36-4815-8f59-066548a5c626"/>
  </ds:schemaRefs>
</ds:datastoreItem>
</file>

<file path=customXml/itemProps2.xml><?xml version="1.0" encoding="utf-8"?>
<ds:datastoreItem xmlns:ds="http://schemas.openxmlformats.org/officeDocument/2006/customXml" ds:itemID="{5C819834-1836-4AE7-8A6B-7EABDA40C21A}">
  <ds:schemaRefs>
    <ds:schemaRef ds:uri="http://schemas.openxmlformats.org/officeDocument/2006/bibliography"/>
  </ds:schemaRefs>
</ds:datastoreItem>
</file>

<file path=customXml/itemProps3.xml><?xml version="1.0" encoding="utf-8"?>
<ds:datastoreItem xmlns:ds="http://schemas.openxmlformats.org/officeDocument/2006/customXml" ds:itemID="{30FF6C64-F5C1-4615-BED0-3FD02EA00E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1ff916-cf36-4815-8f59-066548a5c626"/>
    <ds:schemaRef ds:uri="76a396e9-683e-4e80-a146-12c21ed12d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CA09EC-DFF4-46AC-8BCF-084C8A7A0EC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8</Pages>
  <Words>3852</Words>
  <Characters>22348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VELVET OÜ</Company>
  <LinksUpToDate>false</LinksUpToDate>
  <CharactersWithSpaces>26148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Arno Niidumaa</dc:creator>
  <cp:keywords/>
  <dc:description/>
  <cp:lastModifiedBy>Arno Niidumaa</cp:lastModifiedBy>
  <cp:revision>2</cp:revision>
  <cp:lastPrinted>2016-05-19T17:36:00Z</cp:lastPrinted>
  <dcterms:created xsi:type="dcterms:W3CDTF">2025-07-01T06:44:00Z</dcterms:created>
  <dcterms:modified xsi:type="dcterms:W3CDTF">2025-07-03T10:13:00Z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0x01010034F7C42AFDE88A40B5DE8F8C6561BF28</vt:lpwstr>
  </property>
</Properties>
</file>