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99C2D" w14:textId="09C29D7B" w:rsidR="00720EB8" w:rsidRPr="000732D8" w:rsidRDefault="00E05343" w:rsidP="00846F0F">
      <w:pPr>
        <w:pStyle w:val="Heading1"/>
        <w:jc w:val="center"/>
        <w:rPr>
          <w:lang w:val="en-GB"/>
        </w:rPr>
      </w:pPr>
      <w:r w:rsidRPr="000732D8">
        <w:rPr>
          <w:lang w:val="en-GB"/>
        </w:rPr>
        <w:t>EXPLANATORY DOCUMENT</w:t>
      </w:r>
    </w:p>
    <w:p w14:paraId="19593B46" w14:textId="77777777" w:rsidR="00C979ED" w:rsidRPr="000732D8" w:rsidRDefault="00E05343" w:rsidP="00C979ED">
      <w:pPr>
        <w:jc w:val="center"/>
        <w:rPr>
          <w:sz w:val="28"/>
          <w:szCs w:val="28"/>
          <w:lang w:val="en-GB"/>
        </w:rPr>
      </w:pPr>
      <w:r w:rsidRPr="000732D8">
        <w:rPr>
          <w:sz w:val="28"/>
          <w:szCs w:val="28"/>
          <w:lang w:val="en-GB"/>
        </w:rPr>
        <w:t>on the Proposal of Finnish, Estonian and Latvian TSOs of Baltic CCR TSOs’ Common Methodology for Splitting Long-Term Cross-Zonal Capacity in Accordance with Article 16 of Commission Regulation (EU) 2016/1719 of 26 September 2016 Establishing a Guideline on Forward Capacity Allocation</w:t>
      </w:r>
    </w:p>
    <w:p w14:paraId="7C89B1DD" w14:textId="48AF5B1F" w:rsidR="00B87455" w:rsidRPr="000732D8" w:rsidRDefault="00F23BF4" w:rsidP="00C979ED">
      <w:pPr>
        <w:jc w:val="center"/>
        <w:rPr>
          <w:sz w:val="28"/>
          <w:szCs w:val="28"/>
          <w:lang w:val="en-GB"/>
        </w:rPr>
      </w:pPr>
      <w:r>
        <w:rPr>
          <w:sz w:val="28"/>
          <w:szCs w:val="28"/>
          <w:lang w:val="en-GB"/>
        </w:rPr>
        <w:t>19</w:t>
      </w:r>
      <w:r w:rsidR="00DD5028" w:rsidRPr="000732D8">
        <w:rPr>
          <w:sz w:val="28"/>
          <w:szCs w:val="28"/>
          <w:lang w:val="en-GB"/>
        </w:rPr>
        <w:t>.</w:t>
      </w:r>
      <w:r w:rsidR="00EF1AB7">
        <w:rPr>
          <w:sz w:val="28"/>
          <w:szCs w:val="28"/>
          <w:lang w:val="en-GB"/>
        </w:rPr>
        <w:t>01</w:t>
      </w:r>
      <w:r w:rsidR="00595C9B">
        <w:rPr>
          <w:sz w:val="28"/>
          <w:szCs w:val="28"/>
          <w:lang w:val="en-GB"/>
        </w:rPr>
        <w:t>.</w:t>
      </w:r>
      <w:r w:rsidR="00B87455" w:rsidRPr="000732D8">
        <w:rPr>
          <w:sz w:val="28"/>
          <w:szCs w:val="28"/>
          <w:lang w:val="en-GB"/>
        </w:rPr>
        <w:t>202</w:t>
      </w:r>
      <w:r w:rsidR="00EF1AB7">
        <w:rPr>
          <w:sz w:val="28"/>
          <w:szCs w:val="28"/>
          <w:lang w:val="en-GB"/>
        </w:rPr>
        <w:t>6</w:t>
      </w:r>
    </w:p>
    <w:p w14:paraId="0F43A681" w14:textId="77777777" w:rsidR="005E6B86" w:rsidRPr="000732D8" w:rsidRDefault="005E6B86" w:rsidP="00C6007C">
      <w:pPr>
        <w:jc w:val="center"/>
        <w:rPr>
          <w:rFonts w:ascii="Times New Roman" w:hAnsi="Times New Roman" w:cs="Times New Roman"/>
          <w:b/>
          <w:bCs/>
          <w:sz w:val="28"/>
          <w:szCs w:val="28"/>
          <w:lang w:val="en-GB"/>
        </w:rPr>
      </w:pPr>
    </w:p>
    <w:p w14:paraId="31574D93" w14:textId="0326930B" w:rsidR="005E6B86" w:rsidRPr="000732D8" w:rsidRDefault="498304ED" w:rsidP="00846F0F">
      <w:pPr>
        <w:pStyle w:val="Heading2"/>
        <w:rPr>
          <w:b/>
          <w:bCs/>
          <w:lang w:val="en-GB"/>
        </w:rPr>
      </w:pPr>
      <w:r w:rsidRPr="000732D8">
        <w:rPr>
          <w:b/>
          <w:bCs/>
          <w:lang w:val="en-GB"/>
        </w:rPr>
        <w:t xml:space="preserve">1. Introduction  </w:t>
      </w:r>
    </w:p>
    <w:p w14:paraId="7D47C868" w14:textId="50F22BD4" w:rsidR="002E397B" w:rsidRPr="000732D8" w:rsidRDefault="64A77AE8" w:rsidP="00757921">
      <w:pPr>
        <w:jc w:val="both"/>
        <w:rPr>
          <w:rFonts w:cstheme="minorHAnsi"/>
          <w:lang w:val="en-GB"/>
        </w:rPr>
      </w:pPr>
      <w:r w:rsidRPr="000732D8">
        <w:rPr>
          <w:rFonts w:cstheme="minorHAnsi"/>
          <w:lang w:val="en-GB"/>
        </w:rPr>
        <w:t xml:space="preserve">This document serves as the supporting document for the Proposal </w:t>
      </w:r>
      <w:r w:rsidR="68492145" w:rsidRPr="000732D8">
        <w:rPr>
          <w:rFonts w:cstheme="minorHAnsi"/>
          <w:lang w:val="en-GB"/>
        </w:rPr>
        <w:t xml:space="preserve">of </w:t>
      </w:r>
      <w:r w:rsidR="3B7D4EC3" w:rsidRPr="000732D8">
        <w:rPr>
          <w:rFonts w:cstheme="minorHAnsi"/>
          <w:lang w:val="en-GB"/>
        </w:rPr>
        <w:t xml:space="preserve">Finnish, Estonian and Latvian TSOs of Baltic CCR TSOs’ Common Methodology for Splitting Long-Term Cross-Zonal Capacity in Accordance with Article 16 of Commission Regulation (EU) 2016/1719 of 26 September 2016 Establishing a Guideline on Forward Capacity Allocation </w:t>
      </w:r>
      <w:r w:rsidRPr="000732D8">
        <w:rPr>
          <w:rFonts w:cstheme="minorHAnsi"/>
          <w:lang w:val="en-GB"/>
        </w:rPr>
        <w:t>(hereafter referred to as the "</w:t>
      </w:r>
      <w:r w:rsidR="3B7D4EC3" w:rsidRPr="000732D8">
        <w:rPr>
          <w:rFonts w:cstheme="minorHAnsi"/>
          <w:lang w:val="en-GB"/>
        </w:rPr>
        <w:t>LTCS</w:t>
      </w:r>
      <w:r w:rsidRPr="000732D8">
        <w:rPr>
          <w:rFonts w:cstheme="minorHAnsi"/>
          <w:lang w:val="en-GB"/>
        </w:rPr>
        <w:t xml:space="preserve">"). It outlines the </w:t>
      </w:r>
      <w:r w:rsidR="3B7D4EC3" w:rsidRPr="000732D8">
        <w:rPr>
          <w:rFonts w:cstheme="minorHAnsi"/>
          <w:lang w:val="en-GB"/>
        </w:rPr>
        <w:t>LTCS</w:t>
      </w:r>
      <w:r w:rsidRPr="000732D8">
        <w:rPr>
          <w:rFonts w:cstheme="minorHAnsi"/>
          <w:lang w:val="en-GB"/>
        </w:rPr>
        <w:t xml:space="preserve"> for the long-term time frame for the Baltic Capacity Calculation Region (CCR) and aims to provide an explanation, background, and motivation for the proposed legal text of the methodology.</w:t>
      </w:r>
    </w:p>
    <w:p w14:paraId="45E02CFA" w14:textId="4DFDC6A6" w:rsidR="002E397B" w:rsidRPr="000732D8" w:rsidRDefault="00E05343" w:rsidP="00757921">
      <w:pPr>
        <w:jc w:val="both"/>
        <w:rPr>
          <w:rFonts w:cstheme="minorHAnsi"/>
          <w:lang w:val="en-GB"/>
        </w:rPr>
      </w:pPr>
      <w:r w:rsidRPr="000732D8">
        <w:rPr>
          <w:rFonts w:cstheme="minorHAnsi"/>
          <w:lang w:val="en-GB"/>
        </w:rPr>
        <w:t xml:space="preserve">AST, Elering and Fingrid are the TSOs within the Baltic CCR </w:t>
      </w:r>
      <w:r w:rsidR="004C0C9C" w:rsidRPr="000732D8">
        <w:rPr>
          <w:rFonts w:cstheme="minorHAnsi"/>
          <w:lang w:val="en-GB"/>
        </w:rPr>
        <w:t>with the obligation to issue</w:t>
      </w:r>
      <w:r w:rsidRPr="000732D8">
        <w:rPr>
          <w:rFonts w:cstheme="minorHAnsi"/>
          <w:lang w:val="en-GB"/>
        </w:rPr>
        <w:t xml:space="preserve"> </w:t>
      </w:r>
      <w:r w:rsidR="00A6003D" w:rsidRPr="000732D8">
        <w:rPr>
          <w:rFonts w:cstheme="minorHAnsi"/>
          <w:lang w:val="en-GB"/>
        </w:rPr>
        <w:t xml:space="preserve">long-term </w:t>
      </w:r>
      <w:r w:rsidRPr="000732D8">
        <w:rPr>
          <w:rFonts w:cstheme="minorHAnsi"/>
          <w:lang w:val="en-GB"/>
        </w:rPr>
        <w:t xml:space="preserve">transmission rights, which is why the </w:t>
      </w:r>
      <w:r w:rsidR="00C979ED" w:rsidRPr="000732D8">
        <w:rPr>
          <w:rFonts w:cstheme="minorHAnsi"/>
          <w:lang w:val="en-GB"/>
        </w:rPr>
        <w:t>LTCS</w:t>
      </w:r>
      <w:r w:rsidRPr="000732D8">
        <w:rPr>
          <w:rFonts w:cstheme="minorHAnsi"/>
          <w:lang w:val="en-GB"/>
        </w:rPr>
        <w:t xml:space="preserve"> will only be submitted to the relevant Latvian, Estonian, and Finnish National Regulatory Authorities (NRAs). The other TSOs within the Baltic CCR have exemptions from the </w:t>
      </w:r>
      <w:r w:rsidR="00C979ED" w:rsidRPr="000732D8">
        <w:rPr>
          <w:rFonts w:cstheme="minorHAnsi"/>
          <w:lang w:val="en-GB"/>
        </w:rPr>
        <w:t>LTCS</w:t>
      </w:r>
      <w:r w:rsidRPr="000732D8">
        <w:rPr>
          <w:rFonts w:cstheme="minorHAnsi"/>
          <w:lang w:val="en-GB"/>
        </w:rPr>
        <w:t xml:space="preserve"> in accordance with Article 30(7) of Commission Regulation (EU) 2016/1719 establishing guidelines on forward capacity allocation (FCA Regulation).</w:t>
      </w:r>
    </w:p>
    <w:p w14:paraId="623854AB" w14:textId="4A90FD27" w:rsidR="00720EB8" w:rsidRPr="000732D8" w:rsidRDefault="02736434" w:rsidP="00757921">
      <w:pPr>
        <w:jc w:val="both"/>
        <w:rPr>
          <w:rFonts w:cstheme="minorHAnsi"/>
          <w:lang w:val="en-GB"/>
        </w:rPr>
      </w:pPr>
      <w:r w:rsidRPr="000732D8">
        <w:rPr>
          <w:rFonts w:cstheme="minorHAnsi"/>
          <w:lang w:val="en-GB"/>
        </w:rPr>
        <w:t>T</w:t>
      </w:r>
      <w:r w:rsidR="2E353DCD" w:rsidRPr="000732D8">
        <w:rPr>
          <w:rFonts w:cstheme="minorHAnsi"/>
          <w:lang w:val="en-GB"/>
        </w:rPr>
        <w:t>he amended LTSC proposal</w:t>
      </w:r>
      <w:r w:rsidR="703EC19B" w:rsidRPr="000732D8">
        <w:rPr>
          <w:rFonts w:cstheme="minorHAnsi"/>
          <w:lang w:val="en-GB"/>
        </w:rPr>
        <w:t xml:space="preserve"> concerns the Finnish</w:t>
      </w:r>
      <w:r w:rsidR="4AAB5323" w:rsidRPr="000732D8">
        <w:rPr>
          <w:rFonts w:cstheme="minorHAnsi"/>
          <w:lang w:val="en-GB"/>
        </w:rPr>
        <w:t>–</w:t>
      </w:r>
      <w:r w:rsidR="703EC19B" w:rsidRPr="000732D8">
        <w:rPr>
          <w:rFonts w:cstheme="minorHAnsi"/>
          <w:lang w:val="en-GB"/>
        </w:rPr>
        <w:t>Estonian (F</w:t>
      </w:r>
      <w:r w:rsidR="7AEF1A92" w:rsidRPr="000732D8">
        <w:rPr>
          <w:rFonts w:cstheme="minorHAnsi"/>
          <w:lang w:val="en-GB"/>
        </w:rPr>
        <w:t>I-EE)</w:t>
      </w:r>
      <w:r w:rsidR="703EC19B" w:rsidRPr="000732D8">
        <w:rPr>
          <w:rFonts w:cstheme="minorHAnsi"/>
          <w:lang w:val="en-GB"/>
        </w:rPr>
        <w:t xml:space="preserve"> bidding zone border</w:t>
      </w:r>
      <w:r w:rsidR="3B384404" w:rsidRPr="000732D8">
        <w:rPr>
          <w:rFonts w:cstheme="minorHAnsi"/>
          <w:lang w:val="en-GB"/>
        </w:rPr>
        <w:t>.</w:t>
      </w:r>
      <w:r w:rsidR="2E353DCD" w:rsidRPr="000732D8">
        <w:rPr>
          <w:rFonts w:cstheme="minorHAnsi"/>
          <w:lang w:val="en-GB"/>
        </w:rPr>
        <w:t xml:space="preserve"> </w:t>
      </w:r>
      <w:r w:rsidR="1F3AD953" w:rsidRPr="000732D8">
        <w:rPr>
          <w:rFonts w:cstheme="minorHAnsi"/>
          <w:lang w:val="en-GB"/>
        </w:rPr>
        <w:t>More specifically, the</w:t>
      </w:r>
      <w:r w:rsidR="08B1E534" w:rsidRPr="000732D8">
        <w:rPr>
          <w:rFonts w:cstheme="minorHAnsi"/>
          <w:lang w:val="en-GB"/>
        </w:rPr>
        <w:t xml:space="preserve"> calculation of the </w:t>
      </w:r>
      <w:r w:rsidR="227A8F8D" w:rsidRPr="000732D8">
        <w:rPr>
          <w:rFonts w:cstheme="minorHAnsi"/>
          <w:lang w:val="en-GB"/>
        </w:rPr>
        <w:t xml:space="preserve">FI-EE </w:t>
      </w:r>
      <w:r w:rsidR="08B1E534" w:rsidRPr="000732D8">
        <w:rPr>
          <w:rFonts w:cstheme="minorHAnsi"/>
          <w:lang w:val="en-GB"/>
        </w:rPr>
        <w:t xml:space="preserve">LTTR volumes </w:t>
      </w:r>
      <w:r w:rsidR="085A39EE" w:rsidRPr="000732D8">
        <w:rPr>
          <w:rFonts w:cstheme="minorHAnsi"/>
          <w:lang w:val="en-GB"/>
        </w:rPr>
        <w:t>is pr</w:t>
      </w:r>
      <w:r w:rsidR="62F30A09" w:rsidRPr="000732D8">
        <w:rPr>
          <w:rFonts w:cstheme="minorHAnsi"/>
          <w:lang w:val="en-GB"/>
        </w:rPr>
        <w:t>o</w:t>
      </w:r>
      <w:r w:rsidR="085A39EE" w:rsidRPr="000732D8">
        <w:rPr>
          <w:rFonts w:cstheme="minorHAnsi"/>
          <w:lang w:val="en-GB"/>
        </w:rPr>
        <w:t xml:space="preserve">posed to be amended in a way that </w:t>
      </w:r>
      <w:r w:rsidR="08B1E534" w:rsidRPr="000732D8">
        <w:rPr>
          <w:rFonts w:cstheme="minorHAnsi"/>
          <w:lang w:val="en-GB"/>
        </w:rPr>
        <w:t xml:space="preserve">takes into account the </w:t>
      </w:r>
      <w:r w:rsidR="03191FF0" w:rsidRPr="000732D8">
        <w:rPr>
          <w:rFonts w:cstheme="minorHAnsi"/>
          <w:lang w:val="en-GB"/>
        </w:rPr>
        <w:t>observed actual availability</w:t>
      </w:r>
      <w:r w:rsidR="08B1E534" w:rsidRPr="000732D8">
        <w:rPr>
          <w:rFonts w:cstheme="minorHAnsi"/>
          <w:lang w:val="en-GB"/>
        </w:rPr>
        <w:t xml:space="preserve"> of the two HVDC interconnectors (i.e. ESTLINK 1 and ESTLINK 2) of this border by limiting the volumes of the FI-EE LTTRs to reflect the maximum physical flow of electricity in a situation where only one interconnector is in use. </w:t>
      </w:r>
      <w:r w:rsidR="10282E62" w:rsidRPr="000732D8">
        <w:rPr>
          <w:rFonts w:cstheme="minorHAnsi"/>
          <w:lang w:val="en-GB"/>
        </w:rPr>
        <w:t xml:space="preserve">With this change, it can be ensured </w:t>
      </w:r>
      <w:r w:rsidR="2009C3C4" w:rsidRPr="000732D8">
        <w:rPr>
          <w:rFonts w:cstheme="minorHAnsi"/>
          <w:lang w:val="en-GB"/>
        </w:rPr>
        <w:t xml:space="preserve">that the allocated </w:t>
      </w:r>
      <w:r w:rsidR="52F7673A" w:rsidRPr="000732D8">
        <w:rPr>
          <w:rFonts w:cstheme="minorHAnsi"/>
          <w:lang w:val="en-GB"/>
        </w:rPr>
        <w:t>long-term capacity</w:t>
      </w:r>
      <w:r w:rsidR="10EAA0B7" w:rsidRPr="000732D8">
        <w:rPr>
          <w:rFonts w:cstheme="minorHAnsi"/>
          <w:lang w:val="en-GB"/>
        </w:rPr>
        <w:t xml:space="preserve"> </w:t>
      </w:r>
      <w:r w:rsidR="2C2FD7A6" w:rsidRPr="000732D8">
        <w:rPr>
          <w:rFonts w:cstheme="minorHAnsi"/>
          <w:lang w:val="en-GB"/>
        </w:rPr>
        <w:t>should never be impacted by a loss of a single interconnector alone</w:t>
      </w:r>
      <w:r w:rsidR="02119FD1" w:rsidRPr="000732D8">
        <w:rPr>
          <w:rFonts w:cstheme="minorHAnsi"/>
          <w:lang w:val="en-GB"/>
        </w:rPr>
        <w:t>.</w:t>
      </w:r>
      <w:r w:rsidR="4DD5137B" w:rsidRPr="000732D8">
        <w:rPr>
          <w:rFonts w:cstheme="minorHAnsi"/>
          <w:lang w:val="en-GB"/>
        </w:rPr>
        <w:t xml:space="preserve"> </w:t>
      </w:r>
      <w:r w:rsidR="7D94D77A" w:rsidRPr="000732D8">
        <w:rPr>
          <w:rFonts w:cstheme="minorHAnsi"/>
          <w:lang w:val="en-GB"/>
        </w:rPr>
        <w:t xml:space="preserve">The change would effectively mean that </w:t>
      </w:r>
      <w:r w:rsidR="37E710FA" w:rsidRPr="000732D8">
        <w:rPr>
          <w:rFonts w:cstheme="minorHAnsi"/>
          <w:lang w:val="en-GB"/>
        </w:rPr>
        <w:t xml:space="preserve">the </w:t>
      </w:r>
      <w:r w:rsidR="5B9CEB92" w:rsidRPr="000732D8">
        <w:rPr>
          <w:rFonts w:cstheme="minorHAnsi"/>
          <w:lang w:val="en-GB"/>
        </w:rPr>
        <w:t>sum of the yearly and monthly LTTR</w:t>
      </w:r>
      <w:r w:rsidR="37E710FA" w:rsidRPr="000732D8">
        <w:rPr>
          <w:rFonts w:cstheme="minorHAnsi"/>
          <w:lang w:val="en-GB"/>
        </w:rPr>
        <w:t xml:space="preserve"> </w:t>
      </w:r>
      <w:r w:rsidR="648F49E0" w:rsidRPr="000732D8">
        <w:rPr>
          <w:rFonts w:cstheme="minorHAnsi"/>
          <w:lang w:val="en-GB"/>
        </w:rPr>
        <w:t>is</w:t>
      </w:r>
      <w:r w:rsidR="37E710FA" w:rsidRPr="000732D8">
        <w:rPr>
          <w:rFonts w:cstheme="minorHAnsi"/>
          <w:lang w:val="en-GB"/>
        </w:rPr>
        <w:t xml:space="preserve"> </w:t>
      </w:r>
      <w:r w:rsidR="0C77F0DF" w:rsidRPr="000732D8">
        <w:rPr>
          <w:rFonts w:cstheme="minorHAnsi"/>
          <w:lang w:val="en-GB"/>
        </w:rPr>
        <w:t xml:space="preserve">limited to </w:t>
      </w:r>
      <w:r w:rsidR="425F98C9" w:rsidRPr="000732D8">
        <w:rPr>
          <w:rFonts w:cstheme="minorHAnsi"/>
          <w:lang w:val="en-GB"/>
        </w:rPr>
        <w:t xml:space="preserve">350 </w:t>
      </w:r>
      <w:r w:rsidR="09E864E3" w:rsidRPr="000732D8">
        <w:rPr>
          <w:rFonts w:cstheme="minorHAnsi"/>
          <w:lang w:val="en-GB"/>
        </w:rPr>
        <w:t>MW</w:t>
      </w:r>
      <w:r w:rsidR="14E7A475" w:rsidRPr="000732D8">
        <w:rPr>
          <w:rFonts w:cstheme="minorHAnsi"/>
          <w:lang w:val="en-GB"/>
        </w:rPr>
        <w:t xml:space="preserve">, which corresponds to the </w:t>
      </w:r>
      <w:r w:rsidR="60F99FBA" w:rsidRPr="000732D8">
        <w:rPr>
          <w:rFonts w:cstheme="minorHAnsi"/>
          <w:lang w:val="en-GB"/>
        </w:rPr>
        <w:t xml:space="preserve">actual physical </w:t>
      </w:r>
      <w:r w:rsidR="14E7A475" w:rsidRPr="000732D8">
        <w:rPr>
          <w:rFonts w:cstheme="minorHAnsi"/>
          <w:lang w:val="en-GB"/>
        </w:rPr>
        <w:t>flow</w:t>
      </w:r>
      <w:r w:rsidR="6D07048C" w:rsidRPr="000732D8">
        <w:rPr>
          <w:rFonts w:cstheme="minorHAnsi"/>
          <w:lang w:val="en-GB"/>
        </w:rPr>
        <w:t xml:space="preserve"> electricity</w:t>
      </w:r>
      <w:r w:rsidR="14E7A475" w:rsidRPr="000732D8">
        <w:rPr>
          <w:rFonts w:cstheme="minorHAnsi"/>
          <w:lang w:val="en-GB"/>
        </w:rPr>
        <w:t xml:space="preserve"> that can be hosted </w:t>
      </w:r>
      <w:r w:rsidR="73A0923C" w:rsidRPr="000732D8">
        <w:rPr>
          <w:rFonts w:cstheme="minorHAnsi"/>
          <w:lang w:val="en-GB"/>
        </w:rPr>
        <w:t>by</w:t>
      </w:r>
      <w:r w:rsidR="14E7A475" w:rsidRPr="000732D8">
        <w:rPr>
          <w:rFonts w:cstheme="minorHAnsi"/>
          <w:lang w:val="en-GB"/>
        </w:rPr>
        <w:t xml:space="preserve"> </w:t>
      </w:r>
      <w:r w:rsidR="732F2FA0" w:rsidRPr="000732D8">
        <w:rPr>
          <w:rFonts w:cstheme="minorHAnsi"/>
          <w:lang w:val="en-GB"/>
        </w:rPr>
        <w:t xml:space="preserve">either </w:t>
      </w:r>
      <w:r w:rsidR="14E7A475" w:rsidRPr="000732D8">
        <w:rPr>
          <w:rFonts w:cstheme="minorHAnsi"/>
          <w:lang w:val="en-GB"/>
        </w:rPr>
        <w:t>one of the interconnectors</w:t>
      </w:r>
      <w:r w:rsidR="0C77F0DF" w:rsidRPr="000732D8">
        <w:rPr>
          <w:rFonts w:cstheme="minorHAnsi"/>
          <w:lang w:val="en-GB"/>
        </w:rPr>
        <w:t>.</w:t>
      </w:r>
      <w:r w:rsidR="08B1E534" w:rsidRPr="000732D8">
        <w:rPr>
          <w:rFonts w:cstheme="minorHAnsi"/>
          <w:lang w:val="en-GB"/>
        </w:rPr>
        <w:t xml:space="preserve"> </w:t>
      </w:r>
      <w:r w:rsidR="6D382031" w:rsidRPr="000732D8">
        <w:rPr>
          <w:rFonts w:cstheme="minorHAnsi"/>
          <w:lang w:val="en-GB"/>
        </w:rPr>
        <w:t xml:space="preserve"> The proposed amendment is expected to improve the firmness of </w:t>
      </w:r>
      <w:r w:rsidR="6F81EE4D" w:rsidRPr="000732D8">
        <w:rPr>
          <w:rFonts w:cstheme="minorHAnsi"/>
          <w:lang w:val="en-GB"/>
        </w:rPr>
        <w:t xml:space="preserve">the </w:t>
      </w:r>
      <w:r w:rsidR="6D382031" w:rsidRPr="000732D8">
        <w:rPr>
          <w:rFonts w:cstheme="minorHAnsi"/>
          <w:lang w:val="en-GB"/>
        </w:rPr>
        <w:t>LTTRs issued on the FI-EE bidding zone border becau</w:t>
      </w:r>
      <w:r w:rsidR="1C9EC111" w:rsidRPr="000732D8">
        <w:rPr>
          <w:rFonts w:cstheme="minorHAnsi"/>
          <w:lang w:val="en-GB"/>
        </w:rPr>
        <w:t xml:space="preserve">se </w:t>
      </w:r>
      <w:r w:rsidR="02BD5117" w:rsidRPr="000732D8">
        <w:rPr>
          <w:rFonts w:cstheme="minorHAnsi"/>
          <w:lang w:val="en-GB"/>
        </w:rPr>
        <w:t>the</w:t>
      </w:r>
      <w:r w:rsidR="1C9EC111" w:rsidRPr="000732D8">
        <w:rPr>
          <w:rFonts w:cstheme="minorHAnsi"/>
          <w:lang w:val="en-GB"/>
        </w:rPr>
        <w:t xml:space="preserve"> loss of a single interconnector </w:t>
      </w:r>
      <w:r w:rsidR="5C762C2A" w:rsidRPr="000732D8">
        <w:rPr>
          <w:rFonts w:cstheme="minorHAnsi"/>
          <w:lang w:val="en-GB"/>
        </w:rPr>
        <w:t xml:space="preserve">alone </w:t>
      </w:r>
      <w:r w:rsidR="1C9EC111" w:rsidRPr="000732D8">
        <w:rPr>
          <w:rFonts w:cstheme="minorHAnsi"/>
          <w:lang w:val="en-GB"/>
        </w:rPr>
        <w:t>would n</w:t>
      </w:r>
      <w:r w:rsidR="59196BCA" w:rsidRPr="000732D8">
        <w:rPr>
          <w:rFonts w:cstheme="minorHAnsi"/>
          <w:lang w:val="en-GB"/>
        </w:rPr>
        <w:t>ever</w:t>
      </w:r>
      <w:r w:rsidR="1C9EC111" w:rsidRPr="000732D8">
        <w:rPr>
          <w:rFonts w:cstheme="minorHAnsi"/>
          <w:lang w:val="en-GB"/>
        </w:rPr>
        <w:t xml:space="preserve"> trigger </w:t>
      </w:r>
      <w:r w:rsidR="5A7AFC72" w:rsidRPr="000732D8">
        <w:rPr>
          <w:rFonts w:cstheme="minorHAnsi"/>
          <w:lang w:val="en-GB"/>
        </w:rPr>
        <w:t>the</w:t>
      </w:r>
      <w:r w:rsidR="1C9EC111" w:rsidRPr="000732D8">
        <w:rPr>
          <w:rFonts w:cstheme="minorHAnsi"/>
          <w:lang w:val="en-GB"/>
        </w:rPr>
        <w:t xml:space="preserve"> need to curtail the allocated LTTRs.</w:t>
      </w:r>
      <w:r w:rsidR="62190F8E" w:rsidRPr="000732D8">
        <w:rPr>
          <w:rFonts w:cstheme="minorHAnsi"/>
          <w:lang w:val="en-GB"/>
        </w:rPr>
        <w:t xml:space="preserve"> In addition, it may alleviate the observed problem of underselling</w:t>
      </w:r>
      <w:r w:rsidR="52CCB711" w:rsidRPr="000732D8">
        <w:rPr>
          <w:rFonts w:cstheme="minorHAnsi"/>
          <w:lang w:val="en-GB"/>
        </w:rPr>
        <w:t xml:space="preserve"> and thus </w:t>
      </w:r>
      <w:r w:rsidR="048945B3" w:rsidRPr="000732D8">
        <w:rPr>
          <w:rFonts w:cstheme="minorHAnsi"/>
          <w:lang w:val="en-GB"/>
        </w:rPr>
        <w:t>reduce</w:t>
      </w:r>
      <w:r w:rsidR="52CCB711" w:rsidRPr="000732D8">
        <w:rPr>
          <w:rFonts w:cstheme="minorHAnsi"/>
          <w:lang w:val="en-GB"/>
        </w:rPr>
        <w:t xml:space="preserve"> the transfer of wealth from tariff payers to LTTR holder</w:t>
      </w:r>
      <w:r w:rsidR="7FD34EEE" w:rsidRPr="000732D8">
        <w:rPr>
          <w:rFonts w:cstheme="minorHAnsi"/>
          <w:lang w:val="en-GB"/>
        </w:rPr>
        <w:t>s.</w:t>
      </w:r>
      <w:r w:rsidR="00337985" w:rsidRPr="000732D8">
        <w:rPr>
          <w:rFonts w:cstheme="minorHAnsi"/>
          <w:lang w:val="en-GB"/>
        </w:rPr>
        <w:t xml:space="preserve"> </w:t>
      </w:r>
    </w:p>
    <w:p w14:paraId="5364ED5B" w14:textId="30C7EBFF" w:rsidR="00347E2A" w:rsidRPr="000732D8" w:rsidRDefault="000E6F52" w:rsidP="00757921">
      <w:pPr>
        <w:jc w:val="both"/>
        <w:rPr>
          <w:rFonts w:cstheme="minorHAnsi"/>
          <w:lang w:val="en-GB"/>
        </w:rPr>
      </w:pPr>
      <w:r w:rsidRPr="000732D8">
        <w:rPr>
          <w:rFonts w:cstheme="minorHAnsi"/>
          <w:lang w:val="en-GB"/>
        </w:rPr>
        <w:t xml:space="preserve">Due to changes in the regulatory environment (ACER’s opinion and the Estonian NRA injunction not to curtail FTRs), which have increased TSO risks, the TSOs propose setting the FTR volumes at </w:t>
      </w:r>
      <w:r w:rsidR="00831035">
        <w:rPr>
          <w:rFonts w:cstheme="minorHAnsi"/>
          <w:lang w:val="en-GB"/>
        </w:rPr>
        <w:t>200</w:t>
      </w:r>
      <w:r w:rsidRPr="000732D8">
        <w:rPr>
          <w:rFonts w:cstheme="minorHAnsi"/>
          <w:lang w:val="en-GB"/>
        </w:rPr>
        <w:t xml:space="preserve">MW for the annual product and </w:t>
      </w:r>
      <w:r w:rsidR="00831035">
        <w:rPr>
          <w:rFonts w:cstheme="minorHAnsi"/>
          <w:lang w:val="en-GB"/>
        </w:rPr>
        <w:t>150</w:t>
      </w:r>
      <w:r w:rsidRPr="000732D8">
        <w:rPr>
          <w:rFonts w:cstheme="minorHAnsi"/>
          <w:lang w:val="en-GB"/>
        </w:rPr>
        <w:t xml:space="preserve"> MW for the monthly product</w:t>
      </w:r>
      <w:r w:rsidR="00CC4999">
        <w:rPr>
          <w:rStyle w:val="FootnoteReference"/>
          <w:rFonts w:cstheme="minorHAnsi"/>
          <w:lang w:val="en-GB"/>
        </w:rPr>
        <w:footnoteReference w:id="1"/>
      </w:r>
      <w:r w:rsidRPr="000732D8">
        <w:rPr>
          <w:rFonts w:cstheme="minorHAnsi"/>
          <w:lang w:val="en-GB"/>
        </w:rPr>
        <w:t xml:space="preserve">. The inability to curtail FTRs could lead to excessive compensation obligations, limiting TSOs’ core </w:t>
      </w:r>
      <w:r w:rsidRPr="000732D8">
        <w:rPr>
          <w:rFonts w:cstheme="minorHAnsi"/>
          <w:lang w:val="en-GB"/>
        </w:rPr>
        <w:lastRenderedPageBreak/>
        <w:t xml:space="preserve">tasks, affecting grid tariff payers, and potentially worsening TSOs’ credit ratings, thereby increasing the cost of grid development. Setting the FTR volumes at these levels ensures that, even in the event of a simultaneous outage of both </w:t>
      </w:r>
      <w:r w:rsidR="00020DD2">
        <w:rPr>
          <w:rFonts w:cstheme="minorHAnsi"/>
          <w:lang w:val="en-GB"/>
        </w:rPr>
        <w:t>ESTLINK</w:t>
      </w:r>
      <w:r w:rsidRPr="000732D8">
        <w:rPr>
          <w:rFonts w:cstheme="minorHAnsi"/>
          <w:lang w:val="en-GB"/>
        </w:rPr>
        <w:t>s, the compensation obligations remain within the expected annual congestion income, safeguarding TSO financial stability</w:t>
      </w:r>
      <w:r w:rsidR="009E5935">
        <w:rPr>
          <w:rFonts w:cstheme="minorHAnsi"/>
          <w:lang w:val="en-GB"/>
        </w:rPr>
        <w:t xml:space="preserve">, and improving the </w:t>
      </w:r>
      <w:r w:rsidR="004708F0">
        <w:rPr>
          <w:rFonts w:cstheme="minorHAnsi"/>
          <w:lang w:val="en-GB"/>
        </w:rPr>
        <w:t>firmness</w:t>
      </w:r>
      <w:r w:rsidR="009E5935">
        <w:rPr>
          <w:rFonts w:cstheme="minorHAnsi"/>
          <w:lang w:val="en-GB"/>
        </w:rPr>
        <w:t xml:space="preserve"> of the FTRs from the market participants’ point of view</w:t>
      </w:r>
      <w:r w:rsidR="004708F0">
        <w:rPr>
          <w:rFonts w:cstheme="minorHAnsi"/>
          <w:lang w:val="en-GB"/>
        </w:rPr>
        <w:t>.</w:t>
      </w:r>
      <w:r w:rsidR="00E231EE">
        <w:rPr>
          <w:rFonts w:cstheme="minorHAnsi"/>
          <w:lang w:val="en-GB"/>
        </w:rPr>
        <w:t xml:space="preserve"> </w:t>
      </w:r>
      <w:r w:rsidR="6C63EFA7" w:rsidRPr="000732D8">
        <w:rPr>
          <w:rFonts w:cstheme="minorHAnsi"/>
          <w:lang w:val="en-GB"/>
        </w:rPr>
        <w:t>In the updated methodology,</w:t>
      </w:r>
      <w:r w:rsidR="2B174DA6" w:rsidRPr="000732D8">
        <w:rPr>
          <w:rFonts w:cstheme="minorHAnsi"/>
          <w:lang w:val="en-GB"/>
        </w:rPr>
        <w:t xml:space="preserve"> no changes are proposed for the EE-LV-border.</w:t>
      </w:r>
      <w:r w:rsidR="6C63EFA7" w:rsidRPr="000732D8">
        <w:rPr>
          <w:rFonts w:cstheme="minorHAnsi"/>
          <w:lang w:val="en-GB"/>
        </w:rPr>
        <w:t xml:space="preserve"> </w:t>
      </w:r>
      <w:r w:rsidR="527D67FE" w:rsidRPr="000732D8">
        <w:rPr>
          <w:rFonts w:cstheme="minorHAnsi"/>
          <w:lang w:val="en-GB"/>
        </w:rPr>
        <w:t xml:space="preserve">This means that </w:t>
      </w:r>
      <w:r w:rsidR="6C63EFA7" w:rsidRPr="000732D8">
        <w:rPr>
          <w:rFonts w:cstheme="minorHAnsi"/>
          <w:lang w:val="en-GB"/>
        </w:rPr>
        <w:t xml:space="preserve">the LTTR volumes for the EE-LV border </w:t>
      </w:r>
      <w:r w:rsidR="757BC916" w:rsidRPr="000732D8">
        <w:rPr>
          <w:rFonts w:cstheme="minorHAnsi"/>
          <w:lang w:val="en-GB"/>
        </w:rPr>
        <w:t>continue to be</w:t>
      </w:r>
      <w:r w:rsidR="6C63EFA7" w:rsidRPr="000732D8">
        <w:rPr>
          <w:rFonts w:cstheme="minorHAnsi"/>
          <w:lang w:val="en-GB"/>
        </w:rPr>
        <w:t xml:space="preserve"> set </w:t>
      </w:r>
      <w:r w:rsidR="00811E81" w:rsidRPr="000732D8">
        <w:rPr>
          <w:rFonts w:cstheme="minorHAnsi"/>
          <w:lang w:val="en-GB"/>
        </w:rPr>
        <w:t xml:space="preserve">by calculation formula and as maximum </w:t>
      </w:r>
      <w:r w:rsidR="6C63EFA7" w:rsidRPr="000732D8">
        <w:rPr>
          <w:rFonts w:cstheme="minorHAnsi"/>
          <w:lang w:val="en-GB"/>
        </w:rPr>
        <w:t xml:space="preserve">at 300 MW for the yearly auction (the same as currently), 50 MW for all quarters, and 100 MW for monthly auctions. </w:t>
      </w:r>
      <w:r w:rsidR="03329F34" w:rsidRPr="000732D8">
        <w:rPr>
          <w:rFonts w:cstheme="minorHAnsi"/>
          <w:lang w:val="en-GB"/>
        </w:rPr>
        <w:t xml:space="preserve"> </w:t>
      </w:r>
      <w:r w:rsidR="00BE07D5" w:rsidRPr="000732D8">
        <w:rPr>
          <w:rFonts w:cstheme="minorHAnsi"/>
          <w:lang w:val="en-GB"/>
        </w:rPr>
        <w:br/>
      </w:r>
    </w:p>
    <w:p w14:paraId="24E3966C" w14:textId="14DD3016" w:rsidR="00AC794C" w:rsidRPr="000732D8" w:rsidRDefault="09DB4B1E" w:rsidP="00C36049">
      <w:pPr>
        <w:pStyle w:val="Heading2"/>
        <w:jc w:val="both"/>
        <w:rPr>
          <w:rFonts w:asciiTheme="minorHAnsi" w:hAnsiTheme="minorHAnsi" w:cstheme="minorHAnsi"/>
          <w:lang w:val="en-GB"/>
        </w:rPr>
      </w:pPr>
      <w:r w:rsidRPr="000732D8">
        <w:rPr>
          <w:rFonts w:asciiTheme="minorHAnsi" w:hAnsiTheme="minorHAnsi" w:cstheme="minorHAnsi"/>
          <w:lang w:val="en-GB"/>
        </w:rPr>
        <w:t xml:space="preserve">3. </w:t>
      </w:r>
      <w:r w:rsidR="00BB67CA" w:rsidRPr="000732D8">
        <w:rPr>
          <w:rFonts w:asciiTheme="minorHAnsi" w:hAnsiTheme="minorHAnsi" w:cstheme="minorHAnsi"/>
          <w:lang w:val="en-GB"/>
        </w:rPr>
        <w:t>Availability of interconnectors and the f</w:t>
      </w:r>
      <w:r w:rsidRPr="000732D8">
        <w:rPr>
          <w:rFonts w:asciiTheme="minorHAnsi" w:hAnsiTheme="minorHAnsi" w:cstheme="minorHAnsi"/>
          <w:lang w:val="en-GB"/>
        </w:rPr>
        <w:t>irmness</w:t>
      </w:r>
      <w:r w:rsidR="003D18AE">
        <w:rPr>
          <w:rFonts w:asciiTheme="minorHAnsi" w:hAnsiTheme="minorHAnsi" w:cstheme="minorHAnsi"/>
          <w:lang w:val="en-GB"/>
        </w:rPr>
        <w:t xml:space="preserve"> of</w:t>
      </w:r>
      <w:r w:rsidR="00BB67CA" w:rsidRPr="000732D8">
        <w:rPr>
          <w:rFonts w:asciiTheme="minorHAnsi" w:hAnsiTheme="minorHAnsi" w:cstheme="minorHAnsi"/>
          <w:lang w:val="en-GB"/>
        </w:rPr>
        <w:t xml:space="preserve"> LTTRs</w:t>
      </w:r>
      <w:r w:rsidRPr="000732D8">
        <w:rPr>
          <w:rFonts w:asciiTheme="minorHAnsi" w:hAnsiTheme="minorHAnsi" w:cstheme="minorHAnsi"/>
          <w:lang w:val="en-GB"/>
        </w:rPr>
        <w:t xml:space="preserve"> </w:t>
      </w:r>
    </w:p>
    <w:p w14:paraId="7D4F7137" w14:textId="77777777" w:rsidR="007B548E" w:rsidRPr="000732D8" w:rsidRDefault="00AC794C" w:rsidP="00C36049">
      <w:pPr>
        <w:jc w:val="both"/>
        <w:rPr>
          <w:rFonts w:cstheme="minorHAnsi"/>
          <w:lang w:val="en-GB"/>
        </w:rPr>
      </w:pPr>
      <w:r w:rsidRPr="000732D8">
        <w:rPr>
          <w:rFonts w:cstheme="minorHAnsi"/>
          <w:lang w:val="en-GB"/>
        </w:rPr>
        <w:t xml:space="preserve">The firmness of </w:t>
      </w:r>
      <w:r w:rsidR="00BB67CA" w:rsidRPr="000732D8">
        <w:rPr>
          <w:rFonts w:cstheme="minorHAnsi"/>
          <w:lang w:val="en-GB"/>
        </w:rPr>
        <w:t>LTTRs</w:t>
      </w:r>
      <w:r w:rsidRPr="000732D8">
        <w:rPr>
          <w:rFonts w:cstheme="minorHAnsi"/>
          <w:lang w:val="en-GB"/>
        </w:rPr>
        <w:t xml:space="preserve"> refers to the degree of reliability and assurance associated with its transmission capacity for cross-border electricity trading. It reflects the extent to which market participants can depend on the contracted capacity being available when required. High firmness facilitates confident cross-border trading, enhances price convergence between bidding zones, and contributes to overall system stability. </w:t>
      </w:r>
    </w:p>
    <w:p w14:paraId="4A0E7564" w14:textId="4175D02E" w:rsidR="00AC794C" w:rsidRPr="000732D8" w:rsidRDefault="007B548E" w:rsidP="00C36049">
      <w:pPr>
        <w:jc w:val="both"/>
        <w:rPr>
          <w:rFonts w:cstheme="minorHAnsi"/>
          <w:lang w:val="en-GB"/>
        </w:rPr>
      </w:pPr>
      <w:r w:rsidRPr="000732D8">
        <w:rPr>
          <w:rFonts w:cstheme="minorHAnsi"/>
          <w:lang w:val="en-GB"/>
        </w:rPr>
        <w:t xml:space="preserve">It is important to understand that in the event of any curtailment, all LTTR products </w:t>
      </w:r>
      <w:r w:rsidR="000064FF" w:rsidRPr="000732D8">
        <w:rPr>
          <w:rFonts w:cstheme="minorHAnsi"/>
          <w:lang w:val="en-GB"/>
        </w:rPr>
        <w:t xml:space="preserve">for relevant bidding zone border </w:t>
      </w:r>
      <w:r w:rsidRPr="000732D8">
        <w:rPr>
          <w:rFonts w:cstheme="minorHAnsi"/>
          <w:lang w:val="en-GB"/>
        </w:rPr>
        <w:t>(yearly, quarterly, monthly) are curtailed proportionally, and the firmness does not depend on the product type or the timing of the auction. Therefore, even if the yearly product is allocated earlier, it does not have a higher firmness level. Moreover, since monthly capacity is offered later, offering too much monthly capacity may ultimately affect the firmness level of the already-allocated yearly product.</w:t>
      </w:r>
      <w:r w:rsidR="004208DA" w:rsidRPr="000732D8">
        <w:rPr>
          <w:rFonts w:cstheme="minorHAnsi"/>
          <w:lang w:val="en-GB"/>
        </w:rPr>
        <w:br/>
      </w:r>
      <w:r w:rsidR="004208DA" w:rsidRPr="000732D8">
        <w:rPr>
          <w:rFonts w:cstheme="minorHAnsi"/>
          <w:lang w:val="en-GB"/>
        </w:rPr>
        <w:br/>
        <w:t>From a TSO</w:t>
      </w:r>
      <w:r w:rsidR="007421F6" w:rsidRPr="000732D8">
        <w:rPr>
          <w:rFonts w:cstheme="minorHAnsi"/>
          <w:lang w:val="en-GB"/>
        </w:rPr>
        <w:t xml:space="preserve"> perspective, the acquisition of LTTRs, even if it does not always include the right to nominate electricity on an interconnector, is intrinsically linked to the allocation of cross-zonal capacity and, more generally, to cross-zonal trades. LTTRs are allocated in the same process as cross-zonal capacity, they provide a hedging solution for cross-zonal trades, and are remunerated on the basis of the congestion income which results from day</w:t>
      </w:r>
      <w:r w:rsidR="00613678">
        <w:rPr>
          <w:rFonts w:cstheme="minorHAnsi"/>
          <w:lang w:val="en-GB"/>
        </w:rPr>
        <w:t>-</w:t>
      </w:r>
      <w:r w:rsidR="007421F6" w:rsidRPr="000732D8">
        <w:rPr>
          <w:rFonts w:cstheme="minorHAnsi"/>
          <w:lang w:val="en-GB"/>
        </w:rPr>
        <w:t xml:space="preserve">ahead cross-zonal trades. To host those trades requires a physical day-ahead capacity. </w:t>
      </w:r>
      <w:r w:rsidR="00F2037D" w:rsidRPr="000732D8">
        <w:rPr>
          <w:rFonts w:cstheme="minorHAnsi"/>
          <w:lang w:val="en-GB"/>
        </w:rPr>
        <w:t>LTT</w:t>
      </w:r>
      <w:r w:rsidR="007421F6" w:rsidRPr="000732D8">
        <w:rPr>
          <w:rFonts w:cstheme="minorHAnsi"/>
          <w:lang w:val="en-GB"/>
        </w:rPr>
        <w:t>Rs are therefore indirectly linked to the physical transmission of electricity. Thus, LTTRs cannot be understood in isolation, ignoring the physical aspects of transmission of electricity on the relevant interconnector.</w:t>
      </w:r>
    </w:p>
    <w:p w14:paraId="1A56B143" w14:textId="3E52741F" w:rsidR="00CB3166" w:rsidRPr="000732D8" w:rsidRDefault="00AC794C" w:rsidP="00C36049">
      <w:pPr>
        <w:jc w:val="both"/>
        <w:rPr>
          <w:rFonts w:cstheme="minorHAnsi"/>
          <w:lang w:val="en-GB"/>
        </w:rPr>
      </w:pPr>
      <w:r w:rsidRPr="000732D8">
        <w:rPr>
          <w:rFonts w:cstheme="minorHAnsi"/>
          <w:lang w:val="en-GB"/>
        </w:rPr>
        <w:t>Under the previous bilateral methodology</w:t>
      </w:r>
      <w:r w:rsidR="00B23E7E">
        <w:rPr>
          <w:rFonts w:cstheme="minorHAnsi"/>
          <w:lang w:val="en-GB"/>
        </w:rPr>
        <w:t xml:space="preserve"> from 202</w:t>
      </w:r>
      <w:r w:rsidR="00DB55EB">
        <w:rPr>
          <w:rFonts w:cstheme="minorHAnsi"/>
          <w:lang w:val="en-GB"/>
        </w:rPr>
        <w:t>2</w:t>
      </w:r>
      <w:r w:rsidRPr="000732D8">
        <w:rPr>
          <w:rFonts w:cstheme="minorHAnsi"/>
          <w:lang w:val="en-GB"/>
        </w:rPr>
        <w:t xml:space="preserve">, the TSOs </w:t>
      </w:r>
      <w:r w:rsidR="009F5738" w:rsidRPr="000732D8">
        <w:rPr>
          <w:rFonts w:cstheme="minorHAnsi"/>
          <w:lang w:val="en-GB"/>
        </w:rPr>
        <w:t xml:space="preserve">Elering and Fingrid </w:t>
      </w:r>
      <w:r w:rsidRPr="000732D8">
        <w:rPr>
          <w:rFonts w:cstheme="minorHAnsi"/>
          <w:lang w:val="en-GB"/>
        </w:rPr>
        <w:t xml:space="preserve">deemed it feasible to </w:t>
      </w:r>
      <w:r w:rsidR="00B4763E" w:rsidRPr="000732D8">
        <w:rPr>
          <w:rFonts w:cstheme="minorHAnsi"/>
          <w:lang w:val="en-GB"/>
        </w:rPr>
        <w:t>issue</w:t>
      </w:r>
      <w:r w:rsidRPr="000732D8">
        <w:rPr>
          <w:rFonts w:cstheme="minorHAnsi"/>
          <w:lang w:val="en-GB"/>
        </w:rPr>
        <w:t xml:space="preserve"> the combined yearly and monthly LTTR volumes </w:t>
      </w:r>
      <w:r w:rsidR="00783397" w:rsidRPr="000732D8">
        <w:rPr>
          <w:rFonts w:cstheme="minorHAnsi"/>
          <w:lang w:val="en-GB"/>
        </w:rPr>
        <w:t>of</w:t>
      </w:r>
      <w:r w:rsidRPr="000732D8">
        <w:rPr>
          <w:rFonts w:cstheme="minorHAnsi"/>
          <w:lang w:val="en-GB"/>
        </w:rPr>
        <w:t xml:space="preserve"> 650 MW</w:t>
      </w:r>
      <w:r w:rsidR="00783397" w:rsidRPr="000732D8">
        <w:rPr>
          <w:rFonts w:cstheme="minorHAnsi"/>
          <w:lang w:val="en-GB"/>
        </w:rPr>
        <w:t xml:space="preserve"> on the FI-EE bidding zone border</w:t>
      </w:r>
      <w:r w:rsidRPr="000732D8">
        <w:rPr>
          <w:rFonts w:cstheme="minorHAnsi"/>
          <w:lang w:val="en-GB"/>
        </w:rPr>
        <w:t>, corresponding to the maximum transmission capacity of ESTLINK 2, the larger and more modern of the two interconnectors</w:t>
      </w:r>
      <w:r w:rsidR="00811E81" w:rsidRPr="000732D8">
        <w:rPr>
          <w:rFonts w:cstheme="minorHAnsi"/>
          <w:lang w:val="en-GB"/>
        </w:rPr>
        <w:t xml:space="preserve"> with previous availability </w:t>
      </w:r>
      <w:r w:rsidR="004C24B4" w:rsidRPr="000732D8">
        <w:rPr>
          <w:rFonts w:cstheme="minorHAnsi"/>
          <w:lang w:val="en-GB"/>
        </w:rPr>
        <w:t xml:space="preserve">of more than </w:t>
      </w:r>
      <w:r w:rsidR="00811E81" w:rsidRPr="000732D8">
        <w:rPr>
          <w:rFonts w:cstheme="minorHAnsi"/>
          <w:lang w:val="en-GB"/>
        </w:rPr>
        <w:t>9</w:t>
      </w:r>
      <w:r w:rsidR="004C24B4" w:rsidRPr="000732D8">
        <w:rPr>
          <w:rFonts w:cstheme="minorHAnsi"/>
          <w:lang w:val="en-GB"/>
        </w:rPr>
        <w:t>7</w:t>
      </w:r>
      <w:r w:rsidR="00811E81" w:rsidRPr="000732D8">
        <w:rPr>
          <w:rFonts w:cstheme="minorHAnsi"/>
          <w:lang w:val="en-GB"/>
        </w:rPr>
        <w:t xml:space="preserve">% </w:t>
      </w:r>
      <w:r w:rsidR="00123447" w:rsidRPr="000732D8">
        <w:rPr>
          <w:rFonts w:cstheme="minorHAnsi"/>
          <w:lang w:val="en-GB"/>
        </w:rPr>
        <w:t>(see Figure 1)</w:t>
      </w:r>
      <w:r w:rsidRPr="000732D8">
        <w:rPr>
          <w:rFonts w:cstheme="minorHAnsi"/>
          <w:lang w:val="en-GB"/>
        </w:rPr>
        <w:t xml:space="preserve">. </w:t>
      </w:r>
    </w:p>
    <w:p w14:paraId="501234D5" w14:textId="664DB7FF" w:rsidR="001D37FB" w:rsidRPr="00DC3AC2" w:rsidRDefault="001D37FB" w:rsidP="00DC3AC2">
      <w:pPr>
        <w:jc w:val="both"/>
        <w:rPr>
          <w:rFonts w:cstheme="minorHAnsi"/>
          <w:i/>
          <w:iCs/>
          <w:lang w:val="en-GB"/>
        </w:rPr>
      </w:pPr>
      <w:r w:rsidRPr="00DC3AC2">
        <w:rPr>
          <w:rFonts w:cstheme="minorHAnsi"/>
          <w:i/>
          <w:iCs/>
          <w:noProof/>
          <w:lang w:val="en-GB"/>
        </w:rPr>
        <w:lastRenderedPageBreak/>
        <w:drawing>
          <wp:anchor distT="0" distB="0" distL="114300" distR="114300" simplePos="0" relativeHeight="251659264" behindDoc="0" locked="0" layoutInCell="1" allowOverlap="1" wp14:anchorId="006B2F3A" wp14:editId="369C054E">
            <wp:simplePos x="0" y="0"/>
            <wp:positionH relativeFrom="margin">
              <wp:align>left</wp:align>
            </wp:positionH>
            <wp:positionV relativeFrom="paragraph">
              <wp:posOffset>0</wp:posOffset>
            </wp:positionV>
            <wp:extent cx="5270500" cy="2856230"/>
            <wp:effectExtent l="0" t="0" r="6350" b="1270"/>
            <wp:wrapTopAndBottom/>
            <wp:docPr id="312441776" name="Picture 1" descr="A graph with numbers and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441776" name="Picture 1" descr="A graph with numbers and letters&#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5270500" cy="2856230"/>
                    </a:xfrm>
                    <a:prstGeom prst="rect">
                      <a:avLst/>
                    </a:prstGeom>
                  </pic:spPr>
                </pic:pic>
              </a:graphicData>
            </a:graphic>
            <wp14:sizeRelH relativeFrom="page">
              <wp14:pctWidth>0</wp14:pctWidth>
            </wp14:sizeRelH>
            <wp14:sizeRelV relativeFrom="page">
              <wp14:pctHeight>0</wp14:pctHeight>
            </wp14:sizeRelV>
          </wp:anchor>
        </w:drawing>
      </w:r>
      <w:r w:rsidRPr="00DC3AC2">
        <w:rPr>
          <w:rFonts w:cstheme="minorHAnsi"/>
          <w:i/>
          <w:iCs/>
          <w:lang w:val="en-GB"/>
        </w:rPr>
        <w:t xml:space="preserve">Figure </w:t>
      </w:r>
      <w:r w:rsidRPr="00DC3AC2">
        <w:rPr>
          <w:rFonts w:cstheme="minorHAnsi"/>
          <w:i/>
          <w:iCs/>
          <w:lang w:val="en-GB"/>
        </w:rPr>
        <w:fldChar w:fldCharType="begin"/>
      </w:r>
      <w:r w:rsidRPr="00DC3AC2">
        <w:rPr>
          <w:rFonts w:cstheme="minorHAnsi"/>
          <w:i/>
          <w:iCs/>
          <w:lang w:val="en-GB"/>
        </w:rPr>
        <w:instrText xml:space="preserve"> SEQ Figure \* ARABIC </w:instrText>
      </w:r>
      <w:r w:rsidRPr="00DC3AC2">
        <w:rPr>
          <w:rFonts w:cstheme="minorHAnsi"/>
          <w:i/>
          <w:iCs/>
          <w:lang w:val="en-GB"/>
        </w:rPr>
        <w:fldChar w:fldCharType="separate"/>
      </w:r>
      <w:r w:rsidRPr="00DC3AC2">
        <w:rPr>
          <w:rFonts w:cstheme="minorHAnsi"/>
          <w:i/>
          <w:iCs/>
          <w:noProof/>
          <w:lang w:val="en-GB"/>
        </w:rPr>
        <w:t>1</w:t>
      </w:r>
      <w:r w:rsidRPr="00DC3AC2">
        <w:rPr>
          <w:rFonts w:cstheme="minorHAnsi"/>
          <w:i/>
          <w:iCs/>
          <w:lang w:val="en-GB"/>
        </w:rPr>
        <w:fldChar w:fldCharType="end"/>
      </w:r>
      <w:r w:rsidRPr="00DC3AC2">
        <w:rPr>
          <w:rFonts w:cstheme="minorHAnsi"/>
          <w:i/>
          <w:iCs/>
          <w:lang w:val="en-GB"/>
        </w:rPr>
        <w:t>:</w:t>
      </w:r>
      <w:r w:rsidR="00CE0BC2" w:rsidRPr="00DC3AC2">
        <w:rPr>
          <w:rFonts w:cstheme="minorHAnsi"/>
          <w:i/>
          <w:iCs/>
          <w:lang w:val="en-GB"/>
        </w:rPr>
        <w:t xml:space="preserve"> Transmission availability of Nordic and Baltic HVDC cables as a percentage of full capacity in 2023</w:t>
      </w:r>
      <w:r w:rsidR="0056263A" w:rsidRPr="00DC3AC2">
        <w:rPr>
          <w:rStyle w:val="FootnoteReference"/>
          <w:rFonts w:cstheme="minorHAnsi"/>
          <w:i/>
          <w:iCs/>
          <w:lang w:val="en-GB"/>
        </w:rPr>
        <w:footnoteReference w:id="2"/>
      </w:r>
    </w:p>
    <w:p w14:paraId="6C0751D4" w14:textId="77777777" w:rsidR="00EC647B" w:rsidRDefault="4E7D5344" w:rsidP="00EC647B">
      <w:pPr>
        <w:jc w:val="both"/>
        <w:rPr>
          <w:rFonts w:cstheme="minorHAnsi"/>
          <w:lang w:val="en-GB"/>
        </w:rPr>
      </w:pPr>
      <w:r w:rsidRPr="000732D8">
        <w:rPr>
          <w:rFonts w:cstheme="minorHAnsi"/>
          <w:lang w:val="en-GB"/>
        </w:rPr>
        <w:t xml:space="preserve">However, the extended outages of ESTLINK 2 during 2024 and 2025 have demonstrated that this </w:t>
      </w:r>
      <w:r w:rsidR="10CD439B" w:rsidRPr="000732D8">
        <w:rPr>
          <w:rFonts w:cstheme="minorHAnsi"/>
          <w:lang w:val="en-GB"/>
        </w:rPr>
        <w:t xml:space="preserve">approach is not sustainable and revision of the </w:t>
      </w:r>
      <w:r w:rsidR="0DF00176" w:rsidRPr="000732D8">
        <w:rPr>
          <w:rFonts w:cstheme="minorHAnsi"/>
          <w:lang w:val="en-GB"/>
        </w:rPr>
        <w:t>LTSC is needed</w:t>
      </w:r>
      <w:r w:rsidRPr="000732D8">
        <w:rPr>
          <w:rFonts w:cstheme="minorHAnsi"/>
          <w:lang w:val="en-GB"/>
        </w:rPr>
        <w:t xml:space="preserve">. </w:t>
      </w:r>
      <w:r w:rsidR="2BDBBD85" w:rsidRPr="000732D8">
        <w:rPr>
          <w:rFonts w:cstheme="minorHAnsi"/>
          <w:lang w:val="en-GB"/>
        </w:rPr>
        <w:t>For an illustration of the availability of ESTLINK 1 and ESTLINK 2 cables in</w:t>
      </w:r>
      <w:r w:rsidR="4E5C2170" w:rsidRPr="000732D8">
        <w:rPr>
          <w:rFonts w:cstheme="minorHAnsi"/>
          <w:lang w:val="en-GB"/>
        </w:rPr>
        <w:t xml:space="preserve"> 2014-2024</w:t>
      </w:r>
      <w:r w:rsidR="2BDBBD85" w:rsidRPr="000732D8">
        <w:rPr>
          <w:rFonts w:cstheme="minorHAnsi"/>
          <w:lang w:val="en-GB"/>
        </w:rPr>
        <w:t>, see</w:t>
      </w:r>
      <w:r w:rsidR="12189747" w:rsidRPr="000732D8">
        <w:rPr>
          <w:rFonts w:cstheme="minorHAnsi"/>
          <w:lang w:val="en-GB"/>
        </w:rPr>
        <w:t xml:space="preserve"> the figure</w:t>
      </w:r>
      <w:r w:rsidR="00675111" w:rsidRPr="000732D8">
        <w:rPr>
          <w:rFonts w:cstheme="minorHAnsi"/>
          <w:lang w:val="en-GB"/>
        </w:rPr>
        <w:t>s</w:t>
      </w:r>
      <w:r w:rsidR="12189747" w:rsidRPr="000732D8">
        <w:rPr>
          <w:rFonts w:cstheme="minorHAnsi"/>
          <w:lang w:val="en-GB"/>
        </w:rPr>
        <w:t xml:space="preserve"> </w:t>
      </w:r>
      <w:r w:rsidR="00123447" w:rsidRPr="000732D8">
        <w:rPr>
          <w:rFonts w:cstheme="minorHAnsi"/>
          <w:lang w:val="en-GB"/>
        </w:rPr>
        <w:t>2</w:t>
      </w:r>
      <w:r w:rsidR="00675111" w:rsidRPr="000732D8">
        <w:rPr>
          <w:rFonts w:cstheme="minorHAnsi"/>
          <w:lang w:val="en-GB"/>
        </w:rPr>
        <w:t xml:space="preserve"> and 3</w:t>
      </w:r>
      <w:r w:rsidR="00123447" w:rsidRPr="000732D8">
        <w:rPr>
          <w:rFonts w:cstheme="minorHAnsi"/>
          <w:lang w:val="en-GB"/>
        </w:rPr>
        <w:t xml:space="preserve"> </w:t>
      </w:r>
      <w:r w:rsidR="12189747" w:rsidRPr="000732D8">
        <w:rPr>
          <w:rFonts w:cstheme="minorHAnsi"/>
          <w:lang w:val="en-GB"/>
        </w:rPr>
        <w:t>below</w:t>
      </w:r>
      <w:r w:rsidRPr="000732D8">
        <w:rPr>
          <w:rFonts w:cstheme="minorHAnsi"/>
          <w:lang w:val="en-GB"/>
        </w:rPr>
        <w:t>.</w:t>
      </w:r>
    </w:p>
    <w:p w14:paraId="627F0DE7" w14:textId="77777777" w:rsidR="00DC3AC2" w:rsidRDefault="00DC3AC2" w:rsidP="00EC647B">
      <w:pPr>
        <w:jc w:val="both"/>
        <w:rPr>
          <w:rFonts w:cstheme="minorHAnsi"/>
          <w:lang w:val="en-GB"/>
        </w:rPr>
      </w:pPr>
    </w:p>
    <w:p w14:paraId="5DE4870C" w14:textId="0E4AED48" w:rsidR="00FA78E7" w:rsidRPr="00DC3AC2" w:rsidRDefault="00576F1F" w:rsidP="00DC3AC2">
      <w:pPr>
        <w:jc w:val="both"/>
        <w:rPr>
          <w:rFonts w:cstheme="minorHAnsi"/>
          <w:i/>
          <w:iCs/>
          <w:color w:val="808080" w:themeColor="background1" w:themeShade="80"/>
          <w:sz w:val="18"/>
          <w:szCs w:val="18"/>
          <w:lang w:val="en-GB"/>
        </w:rPr>
      </w:pPr>
      <w:r w:rsidRPr="00DC3AC2">
        <w:rPr>
          <w:rFonts w:cstheme="minorHAnsi"/>
          <w:i/>
          <w:iCs/>
          <w:noProof/>
          <w:color w:val="808080" w:themeColor="background1" w:themeShade="80"/>
          <w:sz w:val="18"/>
          <w:szCs w:val="18"/>
          <w:lang w:val="en-GB"/>
        </w:rPr>
        <w:drawing>
          <wp:anchor distT="0" distB="0" distL="114300" distR="114300" simplePos="0" relativeHeight="251657216" behindDoc="0" locked="0" layoutInCell="1" allowOverlap="1" wp14:anchorId="178D2A0D" wp14:editId="5F826335">
            <wp:simplePos x="0" y="0"/>
            <wp:positionH relativeFrom="column">
              <wp:posOffset>0</wp:posOffset>
            </wp:positionH>
            <wp:positionV relativeFrom="paragraph">
              <wp:posOffset>0</wp:posOffset>
            </wp:positionV>
            <wp:extent cx="5356752" cy="2057400"/>
            <wp:effectExtent l="0" t="0" r="0" b="0"/>
            <wp:wrapTopAndBottom/>
            <wp:docPr id="7239071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56752" cy="2057400"/>
                    </a:xfrm>
                    <a:prstGeom prst="rect">
                      <a:avLst/>
                    </a:prstGeom>
                    <a:noFill/>
                  </pic:spPr>
                </pic:pic>
              </a:graphicData>
            </a:graphic>
            <wp14:sizeRelH relativeFrom="page">
              <wp14:pctWidth>0</wp14:pctWidth>
            </wp14:sizeRelH>
            <wp14:sizeRelV relativeFrom="page">
              <wp14:pctHeight>0</wp14:pctHeight>
            </wp14:sizeRelV>
          </wp:anchor>
        </w:drawing>
      </w:r>
      <w:r w:rsidR="00AC794C" w:rsidRPr="00DC3AC2">
        <w:rPr>
          <w:rFonts w:cstheme="minorHAnsi"/>
          <w:i/>
          <w:iCs/>
          <w:color w:val="808080" w:themeColor="background1" w:themeShade="80"/>
          <w:sz w:val="18"/>
          <w:szCs w:val="18"/>
          <w:lang w:val="en-GB"/>
        </w:rPr>
        <w:t xml:space="preserve">Figure </w:t>
      </w:r>
      <w:r w:rsidR="0056263A" w:rsidRPr="00DC3AC2">
        <w:rPr>
          <w:rFonts w:cstheme="minorHAnsi"/>
          <w:i/>
          <w:iCs/>
          <w:color w:val="808080" w:themeColor="background1" w:themeShade="80"/>
          <w:sz w:val="18"/>
          <w:szCs w:val="18"/>
          <w:lang w:val="en-GB"/>
        </w:rPr>
        <w:t>2</w:t>
      </w:r>
      <w:r w:rsidR="00AC794C" w:rsidRPr="00DC3AC2">
        <w:rPr>
          <w:rFonts w:cstheme="minorHAnsi"/>
          <w:i/>
          <w:iCs/>
          <w:color w:val="808080" w:themeColor="background1" w:themeShade="80"/>
          <w:sz w:val="18"/>
          <w:szCs w:val="18"/>
          <w:lang w:val="en-GB"/>
        </w:rPr>
        <w:t xml:space="preserve">: </w:t>
      </w:r>
      <w:r w:rsidR="00881C44" w:rsidRPr="00DC3AC2">
        <w:rPr>
          <w:rFonts w:cstheme="minorHAnsi"/>
          <w:i/>
          <w:iCs/>
          <w:color w:val="808080" w:themeColor="background1" w:themeShade="80"/>
          <w:sz w:val="18"/>
          <w:szCs w:val="18"/>
          <w:lang w:val="en-GB"/>
        </w:rPr>
        <w:t xml:space="preserve">ESTLINK </w:t>
      </w:r>
      <w:r w:rsidR="00AC794C" w:rsidRPr="00DC3AC2">
        <w:rPr>
          <w:rFonts w:cstheme="minorHAnsi"/>
          <w:i/>
          <w:iCs/>
          <w:color w:val="808080" w:themeColor="background1" w:themeShade="80"/>
          <w:sz w:val="18"/>
          <w:szCs w:val="18"/>
          <w:lang w:val="en-GB"/>
        </w:rPr>
        <w:t xml:space="preserve">1 and 2 </w:t>
      </w:r>
      <w:r w:rsidR="00D63CBB" w:rsidRPr="00DC3AC2">
        <w:rPr>
          <w:rFonts w:cstheme="minorHAnsi"/>
          <w:i/>
          <w:iCs/>
          <w:color w:val="808080" w:themeColor="background1" w:themeShade="80"/>
          <w:sz w:val="18"/>
          <w:szCs w:val="18"/>
          <w:lang w:val="en-GB"/>
        </w:rPr>
        <w:t>annual outage time in hours</w:t>
      </w:r>
      <w:r w:rsidR="00DC3AC2">
        <w:rPr>
          <w:rFonts w:cstheme="minorHAnsi"/>
          <w:i/>
          <w:iCs/>
          <w:color w:val="808080" w:themeColor="background1" w:themeShade="80"/>
          <w:sz w:val="18"/>
          <w:szCs w:val="18"/>
          <w:lang w:val="en-GB"/>
        </w:rPr>
        <w:t xml:space="preserve"> </w:t>
      </w:r>
      <w:r w:rsidR="00D63CBB" w:rsidRPr="00DC3AC2">
        <w:rPr>
          <w:rFonts w:cstheme="minorHAnsi"/>
          <w:i/>
          <w:iCs/>
          <w:color w:val="808080" w:themeColor="background1" w:themeShade="80"/>
          <w:sz w:val="18"/>
          <w:szCs w:val="18"/>
          <w:lang w:val="en-GB"/>
        </w:rPr>
        <w:t xml:space="preserve">2014- </w:t>
      </w:r>
      <w:r w:rsidRPr="00DC3AC2">
        <w:rPr>
          <w:rFonts w:cstheme="minorHAnsi"/>
          <w:i/>
          <w:iCs/>
          <w:color w:val="808080" w:themeColor="background1" w:themeShade="80"/>
          <w:sz w:val="18"/>
          <w:szCs w:val="18"/>
          <w:lang w:val="en-GB"/>
        </w:rPr>
        <w:t>2025</w:t>
      </w:r>
      <w:r w:rsidR="00D63CBB" w:rsidRPr="00DC3AC2">
        <w:rPr>
          <w:rFonts w:cstheme="minorHAnsi"/>
          <w:i/>
          <w:iCs/>
          <w:color w:val="808080" w:themeColor="background1" w:themeShade="80"/>
          <w:sz w:val="18"/>
          <w:szCs w:val="18"/>
          <w:lang w:val="en-GB"/>
        </w:rPr>
        <w:t xml:space="preserve">. </w:t>
      </w:r>
      <w:r w:rsidR="00376DC4" w:rsidRPr="00DC3AC2">
        <w:rPr>
          <w:rFonts w:cstheme="minorHAnsi"/>
          <w:i/>
          <w:iCs/>
          <w:color w:val="808080" w:themeColor="background1" w:themeShade="80"/>
          <w:sz w:val="18"/>
          <w:szCs w:val="18"/>
          <w:lang w:val="en-GB"/>
        </w:rPr>
        <w:t>*) NB. 2025 data up until early December</w:t>
      </w:r>
      <w:r w:rsidR="006938F0" w:rsidRPr="00DC3AC2">
        <w:rPr>
          <w:rFonts w:cstheme="minorHAnsi"/>
          <w:i/>
          <w:iCs/>
          <w:color w:val="808080" w:themeColor="background1" w:themeShade="80"/>
          <w:sz w:val="18"/>
          <w:szCs w:val="18"/>
          <w:lang w:val="en-GB"/>
        </w:rPr>
        <w:t xml:space="preserve"> 2025</w:t>
      </w:r>
      <w:r w:rsidR="00376DC4" w:rsidRPr="00DC3AC2">
        <w:rPr>
          <w:rFonts w:cstheme="minorHAnsi"/>
          <w:i/>
          <w:iCs/>
          <w:color w:val="808080" w:themeColor="background1" w:themeShade="80"/>
          <w:sz w:val="18"/>
          <w:szCs w:val="18"/>
          <w:lang w:val="en-GB"/>
        </w:rPr>
        <w:t>.</w:t>
      </w:r>
    </w:p>
    <w:p w14:paraId="5BCBB2D3" w14:textId="3A10BEC5" w:rsidR="006938F0" w:rsidRDefault="00032933" w:rsidP="00C36049">
      <w:pPr>
        <w:pStyle w:val="Caption"/>
        <w:jc w:val="both"/>
        <w:rPr>
          <w:rFonts w:cstheme="minorHAnsi"/>
          <w:lang w:val="en-GB"/>
        </w:rPr>
      </w:pPr>
      <w:r>
        <w:rPr>
          <w:rFonts w:cstheme="minorHAnsi"/>
          <w:noProof/>
          <w:lang w:val="en-GB"/>
        </w:rPr>
        <w:lastRenderedPageBreak/>
        <w:drawing>
          <wp:inline distT="0" distB="0" distL="0" distR="0" wp14:anchorId="3DC3A598" wp14:editId="41DEDBAC">
            <wp:extent cx="5232400" cy="3173997"/>
            <wp:effectExtent l="0" t="0" r="6350" b="7620"/>
            <wp:docPr id="378075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53984" cy="3187090"/>
                    </a:xfrm>
                    <a:prstGeom prst="rect">
                      <a:avLst/>
                    </a:prstGeom>
                    <a:noFill/>
                  </pic:spPr>
                </pic:pic>
              </a:graphicData>
            </a:graphic>
          </wp:inline>
        </w:drawing>
      </w:r>
    </w:p>
    <w:p w14:paraId="46A5E815" w14:textId="7D63F8A3" w:rsidR="006938F0" w:rsidRPr="000732D8" w:rsidRDefault="00AC794C" w:rsidP="006938F0">
      <w:pPr>
        <w:pStyle w:val="Caption"/>
        <w:keepNext/>
        <w:jc w:val="both"/>
        <w:rPr>
          <w:rFonts w:cstheme="minorHAnsi"/>
          <w:lang w:val="en-GB"/>
        </w:rPr>
      </w:pPr>
      <w:r w:rsidRPr="000732D8">
        <w:rPr>
          <w:rFonts w:cstheme="minorHAnsi"/>
          <w:lang w:val="en-GB"/>
        </w:rPr>
        <w:t xml:space="preserve">Figure </w:t>
      </w:r>
      <w:r w:rsidR="00AB4533" w:rsidRPr="000732D8">
        <w:rPr>
          <w:rFonts w:cstheme="minorHAnsi"/>
          <w:lang w:val="en-GB"/>
        </w:rPr>
        <w:t>3</w:t>
      </w:r>
      <w:r w:rsidRPr="000732D8">
        <w:rPr>
          <w:rFonts w:cstheme="minorHAnsi"/>
          <w:lang w:val="en-GB"/>
        </w:rPr>
        <w:t>: Number of</w:t>
      </w:r>
      <w:r w:rsidR="008B6E0D" w:rsidRPr="000732D8">
        <w:rPr>
          <w:rFonts w:cstheme="minorHAnsi"/>
          <w:lang w:val="en-GB"/>
        </w:rPr>
        <w:t xml:space="preserve"> outages</w:t>
      </w:r>
      <w:r w:rsidRPr="000732D8">
        <w:rPr>
          <w:rFonts w:cstheme="minorHAnsi"/>
          <w:lang w:val="en-GB"/>
        </w:rPr>
        <w:t xml:space="preserve"> annual</w:t>
      </w:r>
      <w:r w:rsidR="008367A0" w:rsidRPr="000732D8">
        <w:rPr>
          <w:rFonts w:cstheme="minorHAnsi"/>
          <w:lang w:val="en-GB"/>
        </w:rPr>
        <w:t>ly</w:t>
      </w:r>
      <w:r w:rsidRPr="000732D8">
        <w:rPr>
          <w:rFonts w:cstheme="minorHAnsi"/>
          <w:lang w:val="en-GB"/>
        </w:rPr>
        <w:t xml:space="preserve"> 2014-2</w:t>
      </w:r>
      <w:r w:rsidR="006938F0">
        <w:rPr>
          <w:rFonts w:cstheme="minorHAnsi"/>
          <w:lang w:val="en-GB"/>
        </w:rPr>
        <w:t>5</w:t>
      </w:r>
      <w:r w:rsidRPr="000732D8">
        <w:rPr>
          <w:rFonts w:cstheme="minorHAnsi"/>
          <w:lang w:val="en-GB"/>
        </w:rPr>
        <w:t xml:space="preserve"> for </w:t>
      </w:r>
      <w:r w:rsidR="00881C44" w:rsidRPr="000732D8">
        <w:rPr>
          <w:rFonts w:cstheme="minorHAnsi"/>
          <w:lang w:val="en-GB"/>
        </w:rPr>
        <w:t xml:space="preserve">ESTLINK </w:t>
      </w:r>
      <w:r w:rsidRPr="000732D8">
        <w:rPr>
          <w:rFonts w:cstheme="minorHAnsi"/>
          <w:lang w:val="en-GB"/>
        </w:rPr>
        <w:t>1 and 2</w:t>
      </w:r>
      <w:r w:rsidR="006938F0">
        <w:rPr>
          <w:rFonts w:cstheme="minorHAnsi"/>
          <w:lang w:val="en-GB"/>
        </w:rPr>
        <w:t>. *) NB. 2025 data up until early December 2025.</w:t>
      </w:r>
    </w:p>
    <w:p w14:paraId="7A2A9B4C" w14:textId="7F467EF8" w:rsidR="007205E8" w:rsidRPr="000732D8" w:rsidRDefault="008B1F1D" w:rsidP="00C36049">
      <w:pPr>
        <w:jc w:val="both"/>
        <w:rPr>
          <w:rFonts w:cstheme="minorHAnsi"/>
          <w:lang w:val="en-GB"/>
        </w:rPr>
      </w:pPr>
      <w:r w:rsidRPr="000732D8">
        <w:rPr>
          <w:rFonts w:cstheme="minorHAnsi"/>
          <w:lang w:val="en-GB"/>
        </w:rPr>
        <w:t>Elering and Fingrid are therefore proposing to limit the FI–EE LTTR volumes to reflect the observed availability of the ESTLINK 1 and ESTLINK 2 interconnectors</w:t>
      </w:r>
      <w:r w:rsidR="00680468" w:rsidRPr="000732D8">
        <w:rPr>
          <w:rFonts w:cstheme="minorHAnsi"/>
          <w:lang w:val="en-GB"/>
        </w:rPr>
        <w:t xml:space="preserve"> as this influences the firmness of the FTRs</w:t>
      </w:r>
      <w:r w:rsidR="00CA612D" w:rsidRPr="000732D8">
        <w:rPr>
          <w:rFonts w:cstheme="minorHAnsi"/>
          <w:lang w:val="en-GB"/>
        </w:rPr>
        <w:t xml:space="preserve"> </w:t>
      </w:r>
    </w:p>
    <w:p w14:paraId="72631771" w14:textId="094F4A6A" w:rsidR="00B737E5" w:rsidRPr="000732D8" w:rsidRDefault="6C42BBE4" w:rsidP="00C36049">
      <w:pPr>
        <w:jc w:val="both"/>
        <w:rPr>
          <w:rFonts w:cstheme="minorHAnsi"/>
          <w:lang w:val="en-GB"/>
        </w:rPr>
      </w:pPr>
      <w:r w:rsidRPr="000732D8">
        <w:rPr>
          <w:rFonts w:cstheme="minorHAnsi"/>
          <w:lang w:val="en-GB"/>
        </w:rPr>
        <w:t>Considering</w:t>
      </w:r>
      <w:r w:rsidR="0C3BD350" w:rsidRPr="000732D8">
        <w:rPr>
          <w:rFonts w:cstheme="minorHAnsi"/>
          <w:lang w:val="en-GB"/>
        </w:rPr>
        <w:t xml:space="preserve"> </w:t>
      </w:r>
      <w:r w:rsidR="2A7BD189" w:rsidRPr="000732D8">
        <w:rPr>
          <w:rFonts w:cstheme="minorHAnsi"/>
          <w:lang w:val="en-GB"/>
        </w:rPr>
        <w:t>the above</w:t>
      </w:r>
      <w:r w:rsidR="0C3BD350" w:rsidRPr="000732D8">
        <w:rPr>
          <w:rFonts w:cstheme="minorHAnsi"/>
          <w:lang w:val="en-GB"/>
        </w:rPr>
        <w:t>, the TSOs propose that the sum of yearly and monthly LTTR volumes be limited to the maximum capacity of ESTLINK 1, i.e., 35</w:t>
      </w:r>
      <w:r w:rsidR="61B11790" w:rsidRPr="000732D8">
        <w:rPr>
          <w:rFonts w:cstheme="minorHAnsi"/>
          <w:lang w:val="en-GB"/>
        </w:rPr>
        <w:t>0</w:t>
      </w:r>
      <w:r w:rsidR="0C3BD350" w:rsidRPr="000732D8">
        <w:rPr>
          <w:rFonts w:cstheme="minorHAnsi"/>
          <w:lang w:val="en-GB"/>
        </w:rPr>
        <w:t xml:space="preserve"> MW. </w:t>
      </w:r>
      <w:r w:rsidR="0DDC8959" w:rsidRPr="000732D8">
        <w:rPr>
          <w:rFonts w:cstheme="minorHAnsi"/>
          <w:lang w:val="en-GB"/>
        </w:rPr>
        <w:t xml:space="preserve">By limiting the capacity to 350 MW, </w:t>
      </w:r>
      <w:r w:rsidR="1BE83447" w:rsidRPr="000732D8">
        <w:rPr>
          <w:rFonts w:cstheme="minorHAnsi"/>
          <w:lang w:val="en-GB"/>
        </w:rPr>
        <w:t>it is more likely that the c</w:t>
      </w:r>
      <w:r w:rsidR="15983D07" w:rsidRPr="000732D8">
        <w:rPr>
          <w:rFonts w:cstheme="minorHAnsi"/>
          <w:lang w:val="en-GB"/>
        </w:rPr>
        <w:t xml:space="preserve">apacity allocated for the LTTR auctions can be provided, </w:t>
      </w:r>
      <w:r w:rsidR="497DBB75" w:rsidRPr="000732D8">
        <w:rPr>
          <w:rFonts w:cstheme="minorHAnsi"/>
          <w:lang w:val="en-GB"/>
        </w:rPr>
        <w:t xml:space="preserve">if at least one of the </w:t>
      </w:r>
      <w:r w:rsidR="00020DD2">
        <w:rPr>
          <w:rFonts w:cstheme="minorHAnsi"/>
          <w:lang w:val="en-GB"/>
        </w:rPr>
        <w:t>ESTLINK</w:t>
      </w:r>
      <w:r w:rsidR="497DBB75" w:rsidRPr="000732D8">
        <w:rPr>
          <w:rFonts w:cstheme="minorHAnsi"/>
          <w:lang w:val="en-GB"/>
        </w:rPr>
        <w:t xml:space="preserve"> interconnectors </w:t>
      </w:r>
      <w:r w:rsidR="6C70D8F5" w:rsidRPr="000732D8">
        <w:rPr>
          <w:rFonts w:cstheme="minorHAnsi"/>
          <w:lang w:val="en-GB"/>
        </w:rPr>
        <w:t>is</w:t>
      </w:r>
      <w:r w:rsidR="497DBB75" w:rsidRPr="000732D8">
        <w:rPr>
          <w:rFonts w:cstheme="minorHAnsi"/>
          <w:lang w:val="en-GB"/>
        </w:rPr>
        <w:t xml:space="preserve"> in normal operational use. </w:t>
      </w:r>
      <w:r w:rsidR="74F7B712" w:rsidRPr="000732D8">
        <w:rPr>
          <w:rFonts w:cstheme="minorHAnsi"/>
          <w:lang w:val="en-GB"/>
        </w:rPr>
        <w:t>Seen from a historical persp</w:t>
      </w:r>
      <w:r w:rsidR="6C70D8F5" w:rsidRPr="000732D8">
        <w:rPr>
          <w:rFonts w:cstheme="minorHAnsi"/>
          <w:lang w:val="en-GB"/>
        </w:rPr>
        <w:t xml:space="preserve">ective, it is highly unlikely that both </w:t>
      </w:r>
      <w:r w:rsidR="00020DD2">
        <w:rPr>
          <w:rFonts w:cstheme="minorHAnsi"/>
          <w:lang w:val="en-GB"/>
        </w:rPr>
        <w:t>ESTLINK</w:t>
      </w:r>
      <w:r w:rsidR="6C70D8F5" w:rsidRPr="000732D8">
        <w:rPr>
          <w:rFonts w:cstheme="minorHAnsi"/>
          <w:lang w:val="en-GB"/>
        </w:rPr>
        <w:t xml:space="preserve"> interconnectors will be </w:t>
      </w:r>
      <w:r w:rsidR="0FA7E615" w:rsidRPr="000732D8">
        <w:rPr>
          <w:rFonts w:cstheme="minorHAnsi"/>
          <w:lang w:val="en-GB"/>
        </w:rPr>
        <w:t>out of normal operation simultaneously.</w:t>
      </w:r>
      <w:r w:rsidR="6C70D8F5" w:rsidRPr="000732D8">
        <w:rPr>
          <w:rFonts w:cstheme="minorHAnsi"/>
          <w:lang w:val="en-GB"/>
        </w:rPr>
        <w:t xml:space="preserve"> </w:t>
      </w:r>
    </w:p>
    <w:p w14:paraId="0ED107A2" w14:textId="77777777" w:rsidR="00AC794C" w:rsidRPr="000732D8" w:rsidRDefault="00AC794C" w:rsidP="00757921">
      <w:pPr>
        <w:jc w:val="both"/>
        <w:rPr>
          <w:rFonts w:cstheme="minorHAnsi"/>
          <w:lang w:val="en-GB"/>
        </w:rPr>
      </w:pPr>
    </w:p>
    <w:p w14:paraId="46AA7670" w14:textId="000267C1" w:rsidR="00AC7FD0" w:rsidRPr="000732D8" w:rsidRDefault="00AC794C" w:rsidP="00C36049">
      <w:pPr>
        <w:pStyle w:val="Heading2"/>
        <w:jc w:val="both"/>
        <w:rPr>
          <w:rFonts w:asciiTheme="minorHAnsi" w:hAnsiTheme="minorHAnsi" w:cstheme="minorHAnsi"/>
          <w:lang w:val="en-GB"/>
        </w:rPr>
      </w:pPr>
      <w:r w:rsidRPr="000732D8">
        <w:rPr>
          <w:rFonts w:asciiTheme="minorHAnsi" w:hAnsiTheme="minorHAnsi" w:cstheme="minorHAnsi"/>
          <w:lang w:val="en-GB"/>
        </w:rPr>
        <w:t>4</w:t>
      </w:r>
      <w:r w:rsidR="00E05343" w:rsidRPr="000732D8">
        <w:rPr>
          <w:rFonts w:asciiTheme="minorHAnsi" w:hAnsiTheme="minorHAnsi" w:cstheme="minorHAnsi"/>
          <w:lang w:val="en-GB"/>
        </w:rPr>
        <w:t>. T</w:t>
      </w:r>
      <w:r w:rsidR="005E6B86" w:rsidRPr="000732D8">
        <w:rPr>
          <w:rFonts w:asciiTheme="minorHAnsi" w:hAnsiTheme="minorHAnsi" w:cstheme="minorHAnsi"/>
          <w:lang w:val="en-GB"/>
        </w:rPr>
        <w:t>aking underselling into account</w:t>
      </w:r>
    </w:p>
    <w:p w14:paraId="1AC87017" w14:textId="4C013A9A" w:rsidR="0020095D" w:rsidRPr="000732D8" w:rsidRDefault="381E2405" w:rsidP="00757921">
      <w:pPr>
        <w:jc w:val="both"/>
        <w:rPr>
          <w:rFonts w:cstheme="minorHAnsi"/>
          <w:lang w:val="en-GB"/>
        </w:rPr>
      </w:pPr>
      <w:r w:rsidRPr="000732D8">
        <w:rPr>
          <w:rFonts w:cstheme="minorHAnsi"/>
          <w:lang w:val="en-GB"/>
        </w:rPr>
        <w:t>Underselling is defined as a situation where the marginal price of the LTTR</w:t>
      </w:r>
      <w:r w:rsidR="78C5CD13" w:rsidRPr="000732D8">
        <w:rPr>
          <w:rFonts w:cstheme="minorHAnsi"/>
          <w:lang w:val="en-GB"/>
        </w:rPr>
        <w:t>s</w:t>
      </w:r>
      <w:r w:rsidRPr="000732D8">
        <w:rPr>
          <w:rFonts w:cstheme="minorHAnsi"/>
          <w:lang w:val="en-GB"/>
        </w:rPr>
        <w:t xml:space="preserve"> determined in the auction of LTTRs, for a given timeframe, is lower than the average </w:t>
      </w:r>
      <w:r w:rsidR="0FD167EF" w:rsidRPr="000732D8">
        <w:rPr>
          <w:rFonts w:cstheme="minorHAnsi"/>
          <w:lang w:val="en-GB"/>
        </w:rPr>
        <w:t>day-</w:t>
      </w:r>
      <w:r w:rsidRPr="000732D8">
        <w:rPr>
          <w:rFonts w:cstheme="minorHAnsi"/>
          <w:lang w:val="en-GB"/>
        </w:rPr>
        <w:t xml:space="preserve">ahead price spread between two bidding zones used as the reference price for settlement of the LTTRs. </w:t>
      </w:r>
      <w:r w:rsidR="663B3F0C" w:rsidRPr="000732D8">
        <w:rPr>
          <w:rFonts w:cstheme="minorHAnsi"/>
          <w:lang w:val="en-GB"/>
        </w:rPr>
        <w:t xml:space="preserve">In other words, </w:t>
      </w:r>
      <w:r w:rsidR="4BAE1EBA" w:rsidRPr="000732D8">
        <w:rPr>
          <w:rFonts w:cstheme="minorHAnsi"/>
          <w:lang w:val="en-GB"/>
        </w:rPr>
        <w:t>u</w:t>
      </w:r>
      <w:r w:rsidRPr="000732D8">
        <w:rPr>
          <w:rFonts w:cstheme="minorHAnsi"/>
          <w:lang w:val="en-GB"/>
        </w:rPr>
        <w:t>nderselling in short means a situation where the bu</w:t>
      </w:r>
      <w:r w:rsidR="00CC35D9" w:rsidRPr="000732D8">
        <w:rPr>
          <w:rFonts w:cstheme="minorHAnsi"/>
          <w:lang w:val="en-GB"/>
        </w:rPr>
        <w:t>y</w:t>
      </w:r>
      <w:r w:rsidRPr="000732D8">
        <w:rPr>
          <w:rFonts w:cstheme="minorHAnsi"/>
          <w:lang w:val="en-GB"/>
        </w:rPr>
        <w:t xml:space="preserve">er of the LTTR systematically obtains a higher cash flow from the variable settlement than what was paid by the buyer of the transmission right. In case of well-functioning </w:t>
      </w:r>
      <w:r w:rsidR="72470440" w:rsidRPr="000732D8">
        <w:rPr>
          <w:rFonts w:cstheme="minorHAnsi"/>
          <w:lang w:val="en-GB"/>
        </w:rPr>
        <w:t>competition,</w:t>
      </w:r>
      <w:r w:rsidRPr="000732D8">
        <w:rPr>
          <w:rFonts w:cstheme="minorHAnsi"/>
          <w:lang w:val="en-GB"/>
        </w:rPr>
        <w:t xml:space="preserve"> one should to some degree expect the auction price </w:t>
      </w:r>
      <w:r w:rsidR="45036B85" w:rsidRPr="000732D8">
        <w:rPr>
          <w:rFonts w:cstheme="minorHAnsi"/>
          <w:lang w:val="en-GB"/>
        </w:rPr>
        <w:t xml:space="preserve">to </w:t>
      </w:r>
      <w:r w:rsidRPr="000732D8">
        <w:rPr>
          <w:rFonts w:cstheme="minorHAnsi"/>
          <w:lang w:val="en-GB"/>
        </w:rPr>
        <w:t xml:space="preserve">be statistically distributed around the price spread. If underselling was present in a product, then with </w:t>
      </w:r>
      <w:r w:rsidR="4D7B7FE8" w:rsidRPr="000732D8">
        <w:rPr>
          <w:rFonts w:cstheme="minorHAnsi"/>
          <w:lang w:val="en-GB"/>
        </w:rPr>
        <w:t>well-functioning</w:t>
      </w:r>
      <w:r w:rsidRPr="000732D8">
        <w:rPr>
          <w:rFonts w:cstheme="minorHAnsi"/>
          <w:lang w:val="en-GB"/>
        </w:rPr>
        <w:t xml:space="preserve"> competition it would be expected that new market participants enter the auctions and drive up the price until </w:t>
      </w:r>
      <w:r w:rsidR="632A2E22" w:rsidRPr="000732D8">
        <w:rPr>
          <w:rFonts w:cstheme="minorHAnsi"/>
          <w:lang w:val="en-GB"/>
        </w:rPr>
        <w:t xml:space="preserve">equilibrium </w:t>
      </w:r>
      <w:r w:rsidRPr="000732D8">
        <w:rPr>
          <w:rFonts w:cstheme="minorHAnsi"/>
          <w:lang w:val="en-GB"/>
        </w:rPr>
        <w:t xml:space="preserve">is reached where no underselling is present. </w:t>
      </w:r>
      <w:r w:rsidR="6868185B" w:rsidRPr="000732D8">
        <w:rPr>
          <w:rFonts w:cstheme="minorHAnsi"/>
          <w:lang w:val="en-GB"/>
        </w:rPr>
        <w:t xml:space="preserve"> However, </w:t>
      </w:r>
      <w:r w:rsidR="4813A340" w:rsidRPr="000732D8">
        <w:rPr>
          <w:rFonts w:cstheme="minorHAnsi"/>
          <w:lang w:val="en-GB"/>
        </w:rPr>
        <w:t xml:space="preserve">this is not what </w:t>
      </w:r>
      <w:r w:rsidR="5C821BAE" w:rsidRPr="000732D8">
        <w:rPr>
          <w:rFonts w:cstheme="minorHAnsi"/>
          <w:lang w:val="en-GB"/>
        </w:rPr>
        <w:t>has been</w:t>
      </w:r>
      <w:r w:rsidR="4813A340" w:rsidRPr="000732D8">
        <w:rPr>
          <w:rFonts w:cstheme="minorHAnsi"/>
          <w:lang w:val="en-GB"/>
        </w:rPr>
        <w:t xml:space="preserve"> observed in the FI-EE LTTR auctions. Instead, the auction p</w:t>
      </w:r>
      <w:r w:rsidR="64F0314C" w:rsidRPr="000732D8">
        <w:rPr>
          <w:rFonts w:cstheme="minorHAnsi"/>
          <w:lang w:val="en-GB"/>
        </w:rPr>
        <w:t>rices</w:t>
      </w:r>
      <w:r w:rsidR="0661C46C" w:rsidRPr="000732D8">
        <w:rPr>
          <w:rFonts w:cstheme="minorHAnsi"/>
          <w:lang w:val="en-GB"/>
        </w:rPr>
        <w:t xml:space="preserve"> of the FI-EE LTTRs</w:t>
      </w:r>
      <w:r w:rsidR="64F0314C" w:rsidRPr="000732D8">
        <w:rPr>
          <w:rFonts w:cstheme="minorHAnsi"/>
          <w:lang w:val="en-GB"/>
        </w:rPr>
        <w:t xml:space="preserve"> demonstrate a persistent pattern of underselling</w:t>
      </w:r>
      <w:r w:rsidR="398895F4" w:rsidRPr="000732D8">
        <w:rPr>
          <w:rFonts w:cstheme="minorHAnsi"/>
          <w:lang w:val="en-GB"/>
        </w:rPr>
        <w:t xml:space="preserve">, as illustrated by </w:t>
      </w:r>
      <w:r w:rsidR="053CD4C5" w:rsidRPr="000732D8">
        <w:rPr>
          <w:rFonts w:cstheme="minorHAnsi"/>
          <w:lang w:val="en-GB"/>
        </w:rPr>
        <w:t xml:space="preserve">table </w:t>
      </w:r>
      <w:r w:rsidR="70681A9C" w:rsidRPr="000732D8">
        <w:rPr>
          <w:rFonts w:cstheme="minorHAnsi"/>
          <w:lang w:val="en-GB"/>
        </w:rPr>
        <w:t xml:space="preserve">1 and figure </w:t>
      </w:r>
      <w:r w:rsidR="00675111" w:rsidRPr="000732D8">
        <w:rPr>
          <w:rFonts w:cstheme="minorHAnsi"/>
          <w:lang w:val="en-GB"/>
        </w:rPr>
        <w:t xml:space="preserve">4 </w:t>
      </w:r>
      <w:r w:rsidR="398895F4" w:rsidRPr="000732D8">
        <w:rPr>
          <w:rFonts w:cstheme="minorHAnsi"/>
          <w:lang w:val="en-GB"/>
        </w:rPr>
        <w:t>below</w:t>
      </w:r>
      <w:r w:rsidR="65B32F04" w:rsidRPr="000732D8">
        <w:rPr>
          <w:rFonts w:cstheme="minorHAnsi"/>
          <w:lang w:val="en-GB"/>
        </w:rPr>
        <w:t>.</w:t>
      </w:r>
      <w:r w:rsidR="291A0657" w:rsidRPr="000732D8">
        <w:rPr>
          <w:rFonts w:cstheme="minorHAnsi"/>
          <w:lang w:val="en-GB"/>
        </w:rPr>
        <w:t xml:space="preserve"> Only months when both ESTLINK interconnectors have been in normal operation have been included in the table.</w:t>
      </w:r>
    </w:p>
    <w:p w14:paraId="7A6E3616" w14:textId="77777777" w:rsidR="0044371A" w:rsidRPr="000732D8" w:rsidRDefault="0044371A" w:rsidP="00757921">
      <w:pPr>
        <w:jc w:val="both"/>
        <w:rPr>
          <w:rFonts w:cstheme="minorHAnsi"/>
          <w:b/>
          <w:bCs/>
          <w:lang w:val="en-GB"/>
        </w:rPr>
      </w:pPr>
    </w:p>
    <w:p w14:paraId="3302B947" w14:textId="68F3490D" w:rsidR="00C9329B" w:rsidRPr="000732D8" w:rsidRDefault="00C9329B" w:rsidP="00C36049">
      <w:pPr>
        <w:pStyle w:val="Caption"/>
        <w:keepNext/>
        <w:jc w:val="both"/>
        <w:rPr>
          <w:rFonts w:cstheme="minorHAnsi"/>
          <w:lang w:val="en-GB"/>
        </w:rPr>
      </w:pPr>
      <w:r w:rsidRPr="000732D8">
        <w:rPr>
          <w:rFonts w:cstheme="minorHAnsi"/>
          <w:lang w:val="en-GB"/>
        </w:rPr>
        <w:lastRenderedPageBreak/>
        <w:t xml:space="preserve">Table </w:t>
      </w:r>
      <w:r w:rsidRPr="000732D8">
        <w:rPr>
          <w:rFonts w:cstheme="minorHAnsi"/>
          <w:lang w:val="en-GB"/>
        </w:rPr>
        <w:fldChar w:fldCharType="begin"/>
      </w:r>
      <w:r w:rsidRPr="000732D8">
        <w:rPr>
          <w:rFonts w:cstheme="minorHAnsi"/>
          <w:lang w:val="en-GB"/>
        </w:rPr>
        <w:instrText xml:space="preserve"> SEQ Table \* ARABIC </w:instrText>
      </w:r>
      <w:r w:rsidRPr="000732D8">
        <w:rPr>
          <w:rFonts w:cstheme="minorHAnsi"/>
          <w:lang w:val="en-GB"/>
        </w:rPr>
        <w:fldChar w:fldCharType="separate"/>
      </w:r>
      <w:r w:rsidRPr="000732D8">
        <w:rPr>
          <w:rFonts w:cstheme="minorHAnsi"/>
          <w:noProof/>
          <w:lang w:val="en-GB"/>
        </w:rPr>
        <w:t>1</w:t>
      </w:r>
      <w:r w:rsidRPr="000732D8">
        <w:rPr>
          <w:rFonts w:cstheme="minorHAnsi"/>
          <w:lang w:val="en-GB"/>
        </w:rPr>
        <w:fldChar w:fldCharType="end"/>
      </w:r>
      <w:r w:rsidRPr="000732D8">
        <w:rPr>
          <w:rFonts w:cstheme="minorHAnsi"/>
          <w:lang w:val="en-GB"/>
        </w:rPr>
        <w:t xml:space="preserve">: </w:t>
      </w:r>
      <w:r w:rsidRPr="000732D8">
        <w:rPr>
          <w:rFonts w:eastAsia="Times New Roman" w:cstheme="minorHAnsi"/>
          <w:color w:val="000000"/>
          <w:kern w:val="0"/>
          <w:lang w:val="en-GB" w:eastAsia="lv-LV"/>
          <w14:ligatures w14:val="none"/>
        </w:rPr>
        <w:t>Net income for TSO from LTTRs on FI-EE border</w:t>
      </w:r>
    </w:p>
    <w:tbl>
      <w:tblPr>
        <w:tblpPr w:leftFromText="180" w:rightFromText="180" w:vertAnchor="text" w:horzAnchor="page" w:tblpX="2522" w:tblpY="-107"/>
        <w:tblW w:w="3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1707"/>
      </w:tblGrid>
      <w:tr w:rsidR="0044371A" w:rsidRPr="000732D8" w14:paraId="4C12EA8F" w14:textId="77777777">
        <w:trPr>
          <w:trHeight w:val="558"/>
        </w:trPr>
        <w:tc>
          <w:tcPr>
            <w:tcW w:w="2263" w:type="dxa"/>
            <w:vAlign w:val="center"/>
            <w:hideMark/>
          </w:tcPr>
          <w:p w14:paraId="711DEC84" w14:textId="2F967D8E" w:rsidR="0044371A" w:rsidRPr="000732D8" w:rsidRDefault="0044371A" w:rsidP="00C36049">
            <w:pPr>
              <w:spacing w:after="0" w:line="240" w:lineRule="auto"/>
              <w:jc w:val="both"/>
              <w:rPr>
                <w:rFonts w:eastAsia="Times New Roman" w:cstheme="minorHAnsi"/>
                <w:color w:val="000000"/>
                <w:kern w:val="0"/>
                <w:lang w:val="en-GB" w:eastAsia="lv-LV"/>
                <w14:ligatures w14:val="none"/>
              </w:rPr>
            </w:pPr>
            <w:r w:rsidRPr="000732D8">
              <w:rPr>
                <w:rFonts w:eastAsia="Times New Roman" w:cstheme="minorHAnsi"/>
                <w:color w:val="000000"/>
                <w:kern w:val="0"/>
                <w:lang w:val="en-GB" w:eastAsia="lv-LV"/>
                <w14:ligatures w14:val="none"/>
              </w:rPr>
              <w:t xml:space="preserve">Month when </w:t>
            </w:r>
            <w:r w:rsidR="00881C44" w:rsidRPr="000732D8">
              <w:rPr>
                <w:rFonts w:eastAsia="Times New Roman" w:cstheme="minorHAnsi"/>
                <w:color w:val="000000"/>
                <w:kern w:val="0"/>
                <w:lang w:val="en-GB" w:eastAsia="lv-LV"/>
                <w14:ligatures w14:val="none"/>
              </w:rPr>
              <w:t xml:space="preserve">ESTLINK 1 and </w:t>
            </w:r>
            <w:r w:rsidRPr="000732D8">
              <w:rPr>
                <w:rFonts w:eastAsia="Times New Roman" w:cstheme="minorHAnsi"/>
                <w:color w:val="000000"/>
                <w:kern w:val="0"/>
                <w:lang w:val="en-GB" w:eastAsia="lv-LV"/>
                <w14:ligatures w14:val="none"/>
              </w:rPr>
              <w:t>2 ha</w:t>
            </w:r>
            <w:r w:rsidR="00881C44" w:rsidRPr="000732D8">
              <w:rPr>
                <w:rFonts w:eastAsia="Times New Roman" w:cstheme="minorHAnsi"/>
                <w:color w:val="000000"/>
                <w:kern w:val="0"/>
                <w:lang w:val="en-GB" w:eastAsia="lv-LV"/>
                <w14:ligatures w14:val="none"/>
              </w:rPr>
              <w:t>ve</w:t>
            </w:r>
            <w:r w:rsidRPr="000732D8">
              <w:rPr>
                <w:rFonts w:eastAsia="Times New Roman" w:cstheme="minorHAnsi"/>
                <w:color w:val="000000"/>
                <w:kern w:val="0"/>
                <w:lang w:val="en-GB" w:eastAsia="lv-LV"/>
                <w14:ligatures w14:val="none"/>
              </w:rPr>
              <w:t xml:space="preserve"> been in normal operation</w:t>
            </w:r>
          </w:p>
        </w:tc>
        <w:tc>
          <w:tcPr>
            <w:tcW w:w="1707" w:type="dxa"/>
          </w:tcPr>
          <w:p w14:paraId="24076DFB" w14:textId="17B21498" w:rsidR="0044371A" w:rsidRPr="000732D8" w:rsidRDefault="0044371A" w:rsidP="00C36049">
            <w:pPr>
              <w:spacing w:after="0" w:line="240" w:lineRule="auto"/>
              <w:jc w:val="both"/>
              <w:rPr>
                <w:rFonts w:eastAsia="Times New Roman" w:cstheme="minorHAnsi"/>
                <w:color w:val="000000"/>
                <w:kern w:val="0"/>
                <w:lang w:val="en-GB" w:eastAsia="lv-LV"/>
                <w14:ligatures w14:val="none"/>
              </w:rPr>
            </w:pPr>
            <w:r w:rsidRPr="000732D8">
              <w:rPr>
                <w:rFonts w:eastAsia="Times New Roman" w:cstheme="minorHAnsi"/>
                <w:color w:val="000000"/>
                <w:kern w:val="0"/>
                <w:lang w:val="en-GB" w:eastAsia="lv-LV"/>
                <w14:ligatures w14:val="none"/>
              </w:rPr>
              <w:t>Net income for TSO from LTTRs on FI-EE border [€]</w:t>
            </w:r>
          </w:p>
        </w:tc>
      </w:tr>
      <w:tr w:rsidR="0044371A" w:rsidRPr="000732D8" w14:paraId="42F69656" w14:textId="77777777">
        <w:trPr>
          <w:trHeight w:val="300"/>
        </w:trPr>
        <w:tc>
          <w:tcPr>
            <w:tcW w:w="2263" w:type="dxa"/>
            <w:noWrap/>
            <w:vAlign w:val="center"/>
          </w:tcPr>
          <w:p w14:paraId="0CBD4885" w14:textId="77777777" w:rsidR="0044371A" w:rsidRPr="000732D8" w:rsidRDefault="0044371A" w:rsidP="00C36049">
            <w:pPr>
              <w:spacing w:after="0" w:line="240" w:lineRule="auto"/>
              <w:jc w:val="both"/>
              <w:rPr>
                <w:rFonts w:eastAsia="Times New Roman" w:cstheme="minorHAnsi"/>
                <w:color w:val="000000"/>
                <w:kern w:val="0"/>
                <w:lang w:val="en-GB" w:eastAsia="lv-LV"/>
                <w14:ligatures w14:val="none"/>
              </w:rPr>
            </w:pPr>
            <w:r w:rsidRPr="000732D8">
              <w:rPr>
                <w:rFonts w:eastAsia="Times New Roman" w:cstheme="minorHAnsi"/>
                <w:color w:val="000000"/>
                <w:kern w:val="0"/>
                <w:lang w:val="en-GB" w:eastAsia="lv-LV"/>
                <w14:ligatures w14:val="none"/>
              </w:rPr>
              <w:t>January 2023</w:t>
            </w:r>
          </w:p>
        </w:tc>
        <w:tc>
          <w:tcPr>
            <w:tcW w:w="1707" w:type="dxa"/>
            <w:shd w:val="clear" w:color="auto" w:fill="C5E0B3" w:themeFill="accent6" w:themeFillTint="66"/>
          </w:tcPr>
          <w:p w14:paraId="5493BE41" w14:textId="77777777" w:rsidR="0044371A" w:rsidRPr="000732D8" w:rsidRDefault="0044371A" w:rsidP="00C36049">
            <w:pPr>
              <w:spacing w:after="0" w:line="240" w:lineRule="auto"/>
              <w:jc w:val="both"/>
              <w:rPr>
                <w:rFonts w:eastAsia="Times New Roman" w:cstheme="minorHAnsi"/>
                <w:kern w:val="0"/>
                <w:lang w:val="en-GB" w:eastAsia="lv-LV"/>
                <w14:ligatures w14:val="none"/>
              </w:rPr>
            </w:pPr>
            <w:r w:rsidRPr="000732D8">
              <w:rPr>
                <w:rFonts w:eastAsia="Times New Roman" w:cstheme="minorHAnsi"/>
                <w:kern w:val="0"/>
                <w:lang w:val="en-GB" w:eastAsia="lv-LV"/>
                <w14:ligatures w14:val="none"/>
              </w:rPr>
              <w:t>1 069 890,51</w:t>
            </w:r>
          </w:p>
        </w:tc>
      </w:tr>
      <w:tr w:rsidR="0044371A" w:rsidRPr="000732D8" w14:paraId="4D4B2B9A" w14:textId="77777777">
        <w:trPr>
          <w:trHeight w:val="300"/>
        </w:trPr>
        <w:tc>
          <w:tcPr>
            <w:tcW w:w="2263" w:type="dxa"/>
            <w:noWrap/>
            <w:vAlign w:val="center"/>
          </w:tcPr>
          <w:p w14:paraId="08F2291A" w14:textId="77777777" w:rsidR="0044371A" w:rsidRPr="000732D8" w:rsidRDefault="0044371A" w:rsidP="00C36049">
            <w:pPr>
              <w:spacing w:after="0" w:line="240" w:lineRule="auto"/>
              <w:jc w:val="both"/>
              <w:rPr>
                <w:rFonts w:eastAsia="Times New Roman" w:cstheme="minorHAnsi"/>
                <w:color w:val="000000"/>
                <w:kern w:val="0"/>
                <w:lang w:val="en-GB" w:eastAsia="lv-LV"/>
                <w14:ligatures w14:val="none"/>
              </w:rPr>
            </w:pPr>
            <w:r w:rsidRPr="000732D8">
              <w:rPr>
                <w:rFonts w:eastAsia="Times New Roman" w:cstheme="minorHAnsi"/>
                <w:color w:val="000000"/>
                <w:kern w:val="0"/>
                <w:lang w:val="en-GB" w:eastAsia="lv-LV"/>
                <w14:ligatures w14:val="none"/>
              </w:rPr>
              <w:t>February 2023</w:t>
            </w:r>
          </w:p>
        </w:tc>
        <w:tc>
          <w:tcPr>
            <w:tcW w:w="1707" w:type="dxa"/>
            <w:shd w:val="clear" w:color="auto" w:fill="FFCCCC"/>
            <w:vAlign w:val="bottom"/>
          </w:tcPr>
          <w:p w14:paraId="4D1F8557" w14:textId="77777777" w:rsidR="0044371A" w:rsidRPr="000732D8" w:rsidRDefault="0044371A" w:rsidP="00C36049">
            <w:pPr>
              <w:spacing w:after="0" w:line="240" w:lineRule="auto"/>
              <w:jc w:val="both"/>
              <w:rPr>
                <w:rFonts w:eastAsia="Times New Roman" w:cstheme="minorHAnsi"/>
                <w:kern w:val="0"/>
                <w:lang w:val="en-GB" w:eastAsia="lv-LV"/>
                <w14:ligatures w14:val="none"/>
              </w:rPr>
            </w:pPr>
            <w:r w:rsidRPr="000732D8">
              <w:rPr>
                <w:rFonts w:eastAsia="Times New Roman" w:cstheme="minorHAnsi"/>
                <w:kern w:val="0"/>
                <w:lang w:val="en-GB" w:eastAsia="lv-LV"/>
                <w14:ligatures w14:val="none"/>
              </w:rPr>
              <w:t>-3 777 655,08</w:t>
            </w:r>
          </w:p>
        </w:tc>
      </w:tr>
      <w:tr w:rsidR="0044371A" w:rsidRPr="000732D8" w14:paraId="266759E7" w14:textId="77777777">
        <w:trPr>
          <w:trHeight w:val="300"/>
        </w:trPr>
        <w:tc>
          <w:tcPr>
            <w:tcW w:w="2263" w:type="dxa"/>
            <w:noWrap/>
            <w:vAlign w:val="center"/>
          </w:tcPr>
          <w:p w14:paraId="57D49A58" w14:textId="77777777" w:rsidR="0044371A" w:rsidRPr="000732D8" w:rsidRDefault="0044371A" w:rsidP="00C36049">
            <w:pPr>
              <w:spacing w:after="0" w:line="240" w:lineRule="auto"/>
              <w:jc w:val="both"/>
              <w:rPr>
                <w:rFonts w:eastAsia="Times New Roman" w:cstheme="minorHAnsi"/>
                <w:color w:val="000000"/>
                <w:kern w:val="0"/>
                <w:lang w:val="en-GB" w:eastAsia="lv-LV"/>
                <w14:ligatures w14:val="none"/>
              </w:rPr>
            </w:pPr>
            <w:r w:rsidRPr="000732D8">
              <w:rPr>
                <w:rFonts w:eastAsia="Times New Roman" w:cstheme="minorHAnsi"/>
                <w:color w:val="000000"/>
                <w:kern w:val="0"/>
                <w:lang w:val="en-GB" w:eastAsia="lv-LV"/>
                <w14:ligatures w14:val="none"/>
              </w:rPr>
              <w:t>March 2023</w:t>
            </w:r>
          </w:p>
        </w:tc>
        <w:tc>
          <w:tcPr>
            <w:tcW w:w="1707" w:type="dxa"/>
            <w:shd w:val="clear" w:color="auto" w:fill="C5E0B3" w:themeFill="accent6" w:themeFillTint="66"/>
          </w:tcPr>
          <w:p w14:paraId="12321549" w14:textId="77777777" w:rsidR="0044371A" w:rsidRPr="000732D8" w:rsidRDefault="0044371A" w:rsidP="00C36049">
            <w:pPr>
              <w:spacing w:after="0" w:line="240" w:lineRule="auto"/>
              <w:jc w:val="both"/>
              <w:rPr>
                <w:rFonts w:cstheme="minorHAnsi"/>
                <w:b/>
                <w:bCs/>
                <w:lang w:val="en-GB"/>
              </w:rPr>
            </w:pPr>
            <w:r w:rsidRPr="000732D8">
              <w:rPr>
                <w:rFonts w:eastAsia="Times New Roman" w:cstheme="minorHAnsi"/>
                <w:kern w:val="0"/>
                <w:lang w:val="en-GB" w:eastAsia="lv-LV"/>
                <w14:ligatures w14:val="none"/>
              </w:rPr>
              <w:t>1 227 633,50</w:t>
            </w:r>
          </w:p>
        </w:tc>
      </w:tr>
      <w:tr w:rsidR="0044371A" w:rsidRPr="000732D8" w14:paraId="2E713527" w14:textId="77777777">
        <w:trPr>
          <w:trHeight w:val="300"/>
        </w:trPr>
        <w:tc>
          <w:tcPr>
            <w:tcW w:w="2263" w:type="dxa"/>
            <w:noWrap/>
            <w:vAlign w:val="center"/>
          </w:tcPr>
          <w:p w14:paraId="65F0B83A" w14:textId="77777777" w:rsidR="0044371A" w:rsidRPr="000732D8" w:rsidRDefault="0044371A" w:rsidP="00C36049">
            <w:pPr>
              <w:spacing w:after="0" w:line="240" w:lineRule="auto"/>
              <w:jc w:val="both"/>
              <w:rPr>
                <w:rFonts w:eastAsia="Times New Roman" w:cstheme="minorHAnsi"/>
                <w:color w:val="000000"/>
                <w:kern w:val="0"/>
                <w:lang w:val="en-GB" w:eastAsia="lv-LV"/>
                <w14:ligatures w14:val="none"/>
              </w:rPr>
            </w:pPr>
            <w:r w:rsidRPr="000732D8">
              <w:rPr>
                <w:rFonts w:eastAsia="Times New Roman" w:cstheme="minorHAnsi"/>
                <w:color w:val="000000"/>
                <w:kern w:val="0"/>
                <w:lang w:val="en-GB" w:eastAsia="lv-LV"/>
                <w14:ligatures w14:val="none"/>
              </w:rPr>
              <w:t>April 2023</w:t>
            </w:r>
          </w:p>
        </w:tc>
        <w:tc>
          <w:tcPr>
            <w:tcW w:w="1707" w:type="dxa"/>
            <w:shd w:val="clear" w:color="auto" w:fill="C5E0B3" w:themeFill="accent6" w:themeFillTint="66"/>
          </w:tcPr>
          <w:p w14:paraId="5ED86395" w14:textId="77777777" w:rsidR="0044371A" w:rsidRPr="000732D8" w:rsidRDefault="0044371A" w:rsidP="00C36049">
            <w:pPr>
              <w:spacing w:after="0" w:line="240" w:lineRule="auto"/>
              <w:jc w:val="both"/>
              <w:rPr>
                <w:rFonts w:eastAsia="Times New Roman" w:cstheme="minorHAnsi"/>
                <w:kern w:val="0"/>
                <w:lang w:val="en-GB" w:eastAsia="lv-LV"/>
                <w14:ligatures w14:val="none"/>
              </w:rPr>
            </w:pPr>
            <w:r w:rsidRPr="000732D8">
              <w:rPr>
                <w:rFonts w:eastAsia="Times New Roman" w:cstheme="minorHAnsi"/>
                <w:kern w:val="0"/>
                <w:lang w:val="en-GB" w:eastAsia="lv-LV"/>
                <w14:ligatures w14:val="none"/>
              </w:rPr>
              <w:t>2 780 828,95</w:t>
            </w:r>
          </w:p>
        </w:tc>
      </w:tr>
      <w:tr w:rsidR="0044371A" w:rsidRPr="000732D8" w14:paraId="0410603F" w14:textId="77777777">
        <w:trPr>
          <w:trHeight w:val="300"/>
        </w:trPr>
        <w:tc>
          <w:tcPr>
            <w:tcW w:w="2263" w:type="dxa"/>
            <w:noWrap/>
            <w:vAlign w:val="center"/>
          </w:tcPr>
          <w:p w14:paraId="4810F3D5" w14:textId="77777777" w:rsidR="0044371A" w:rsidRPr="000732D8" w:rsidRDefault="0044371A" w:rsidP="00C36049">
            <w:pPr>
              <w:spacing w:after="0" w:line="240" w:lineRule="auto"/>
              <w:jc w:val="both"/>
              <w:rPr>
                <w:rFonts w:eastAsia="Times New Roman" w:cstheme="minorHAnsi"/>
                <w:color w:val="000000"/>
                <w:kern w:val="0"/>
                <w:lang w:val="en-GB" w:eastAsia="lv-LV"/>
                <w14:ligatures w14:val="none"/>
              </w:rPr>
            </w:pPr>
            <w:r w:rsidRPr="000732D8">
              <w:rPr>
                <w:rFonts w:eastAsia="Times New Roman" w:cstheme="minorHAnsi"/>
                <w:color w:val="000000"/>
                <w:kern w:val="0"/>
                <w:lang w:val="en-GB" w:eastAsia="lv-LV"/>
                <w14:ligatures w14:val="none"/>
              </w:rPr>
              <w:t>May 2023</w:t>
            </w:r>
          </w:p>
        </w:tc>
        <w:tc>
          <w:tcPr>
            <w:tcW w:w="1707" w:type="dxa"/>
            <w:shd w:val="clear" w:color="auto" w:fill="FFCCCC"/>
          </w:tcPr>
          <w:p w14:paraId="4D6703FA" w14:textId="77777777" w:rsidR="0044371A" w:rsidRPr="000732D8" w:rsidRDefault="0044371A" w:rsidP="00C36049">
            <w:pPr>
              <w:spacing w:after="0" w:line="240" w:lineRule="auto"/>
              <w:jc w:val="both"/>
              <w:rPr>
                <w:rFonts w:eastAsia="Times New Roman" w:cstheme="minorHAnsi"/>
                <w:kern w:val="0"/>
                <w:lang w:val="en-GB" w:eastAsia="lv-LV"/>
                <w14:ligatures w14:val="none"/>
              </w:rPr>
            </w:pPr>
            <w:r w:rsidRPr="000732D8">
              <w:rPr>
                <w:rFonts w:cstheme="minorHAnsi"/>
                <w:lang w:val="en-GB"/>
              </w:rPr>
              <w:t>-5 659 272,13</w:t>
            </w:r>
          </w:p>
        </w:tc>
      </w:tr>
      <w:tr w:rsidR="0044371A" w:rsidRPr="000732D8" w14:paraId="514345D4" w14:textId="77777777">
        <w:trPr>
          <w:trHeight w:val="300"/>
        </w:trPr>
        <w:tc>
          <w:tcPr>
            <w:tcW w:w="2263" w:type="dxa"/>
            <w:noWrap/>
            <w:vAlign w:val="center"/>
          </w:tcPr>
          <w:p w14:paraId="0348FCE0" w14:textId="77777777" w:rsidR="0044371A" w:rsidRPr="000732D8" w:rsidRDefault="0044371A" w:rsidP="00C36049">
            <w:pPr>
              <w:spacing w:after="0" w:line="240" w:lineRule="auto"/>
              <w:jc w:val="both"/>
              <w:rPr>
                <w:rFonts w:eastAsia="Times New Roman" w:cstheme="minorHAnsi"/>
                <w:color w:val="000000"/>
                <w:kern w:val="0"/>
                <w:lang w:val="en-GB" w:eastAsia="lv-LV"/>
                <w14:ligatures w14:val="none"/>
              </w:rPr>
            </w:pPr>
            <w:r w:rsidRPr="000732D8">
              <w:rPr>
                <w:rFonts w:eastAsia="Times New Roman" w:cstheme="minorHAnsi"/>
                <w:color w:val="000000"/>
                <w:kern w:val="0"/>
                <w:lang w:val="en-GB" w:eastAsia="lv-LV"/>
                <w14:ligatures w14:val="none"/>
              </w:rPr>
              <w:t>June 2023</w:t>
            </w:r>
          </w:p>
        </w:tc>
        <w:tc>
          <w:tcPr>
            <w:tcW w:w="1707" w:type="dxa"/>
            <w:shd w:val="clear" w:color="auto" w:fill="FFCCCC"/>
          </w:tcPr>
          <w:p w14:paraId="2219C264" w14:textId="77777777" w:rsidR="0044371A" w:rsidRPr="000732D8" w:rsidRDefault="0044371A" w:rsidP="00C36049">
            <w:pPr>
              <w:spacing w:after="0" w:line="240" w:lineRule="auto"/>
              <w:jc w:val="both"/>
              <w:rPr>
                <w:rFonts w:eastAsia="Times New Roman" w:cstheme="minorHAnsi"/>
                <w:kern w:val="0"/>
                <w:lang w:val="en-GB" w:eastAsia="lv-LV"/>
                <w14:ligatures w14:val="none"/>
              </w:rPr>
            </w:pPr>
            <w:r w:rsidRPr="000732D8">
              <w:rPr>
                <w:rFonts w:cstheme="minorHAnsi"/>
                <w:lang w:val="en-GB"/>
              </w:rPr>
              <w:t>-5 263 996,50</w:t>
            </w:r>
          </w:p>
        </w:tc>
      </w:tr>
      <w:tr w:rsidR="0044371A" w:rsidRPr="000732D8" w14:paraId="11DE24E5" w14:textId="77777777">
        <w:trPr>
          <w:trHeight w:val="300"/>
        </w:trPr>
        <w:tc>
          <w:tcPr>
            <w:tcW w:w="2263" w:type="dxa"/>
            <w:noWrap/>
            <w:vAlign w:val="center"/>
          </w:tcPr>
          <w:p w14:paraId="1CDABC25" w14:textId="77777777" w:rsidR="0044371A" w:rsidRPr="000732D8" w:rsidRDefault="0044371A" w:rsidP="00C36049">
            <w:pPr>
              <w:spacing w:after="0" w:line="240" w:lineRule="auto"/>
              <w:jc w:val="both"/>
              <w:rPr>
                <w:rFonts w:eastAsia="Times New Roman" w:cstheme="minorHAnsi"/>
                <w:color w:val="000000"/>
                <w:kern w:val="0"/>
                <w:lang w:val="en-GB" w:eastAsia="lv-LV"/>
                <w14:ligatures w14:val="none"/>
              </w:rPr>
            </w:pPr>
            <w:r w:rsidRPr="000732D8">
              <w:rPr>
                <w:rFonts w:eastAsia="Times New Roman" w:cstheme="minorHAnsi"/>
                <w:color w:val="000000"/>
                <w:kern w:val="0"/>
                <w:lang w:val="en-GB" w:eastAsia="lv-LV"/>
                <w14:ligatures w14:val="none"/>
              </w:rPr>
              <w:t>July 2023</w:t>
            </w:r>
          </w:p>
        </w:tc>
        <w:tc>
          <w:tcPr>
            <w:tcW w:w="1707" w:type="dxa"/>
            <w:shd w:val="clear" w:color="auto" w:fill="FFCCCC"/>
            <w:vAlign w:val="bottom"/>
          </w:tcPr>
          <w:p w14:paraId="0E70A106" w14:textId="77777777" w:rsidR="0044371A" w:rsidRPr="000732D8" w:rsidRDefault="0044371A" w:rsidP="00C36049">
            <w:pPr>
              <w:spacing w:after="0" w:line="240" w:lineRule="auto"/>
              <w:jc w:val="both"/>
              <w:rPr>
                <w:rFonts w:eastAsia="Times New Roman" w:cstheme="minorHAnsi"/>
                <w:kern w:val="0"/>
                <w:lang w:val="en-GB" w:eastAsia="lv-LV"/>
                <w14:ligatures w14:val="none"/>
              </w:rPr>
            </w:pPr>
            <w:r w:rsidRPr="000732D8">
              <w:rPr>
                <w:rFonts w:cstheme="minorHAnsi"/>
                <w:lang w:val="en-GB"/>
              </w:rPr>
              <w:t>-6 833 659,51</w:t>
            </w:r>
          </w:p>
        </w:tc>
      </w:tr>
      <w:tr w:rsidR="0044371A" w:rsidRPr="000732D8" w14:paraId="30527369" w14:textId="77777777">
        <w:trPr>
          <w:trHeight w:val="300"/>
        </w:trPr>
        <w:tc>
          <w:tcPr>
            <w:tcW w:w="2263" w:type="dxa"/>
            <w:noWrap/>
            <w:vAlign w:val="center"/>
          </w:tcPr>
          <w:p w14:paraId="123A2422" w14:textId="77777777" w:rsidR="0044371A" w:rsidRPr="000732D8" w:rsidRDefault="0044371A" w:rsidP="00C36049">
            <w:pPr>
              <w:spacing w:after="0" w:line="240" w:lineRule="auto"/>
              <w:jc w:val="both"/>
              <w:rPr>
                <w:rFonts w:eastAsia="Times New Roman" w:cstheme="minorHAnsi"/>
                <w:color w:val="000000"/>
                <w:kern w:val="0"/>
                <w:lang w:val="en-GB" w:eastAsia="lv-LV"/>
                <w14:ligatures w14:val="none"/>
              </w:rPr>
            </w:pPr>
            <w:r w:rsidRPr="000732D8">
              <w:rPr>
                <w:rFonts w:eastAsia="Times New Roman" w:cstheme="minorHAnsi"/>
                <w:color w:val="000000"/>
                <w:kern w:val="0"/>
                <w:lang w:val="en-GB" w:eastAsia="lv-LV"/>
                <w14:ligatures w14:val="none"/>
              </w:rPr>
              <w:t>August 2023</w:t>
            </w:r>
          </w:p>
        </w:tc>
        <w:tc>
          <w:tcPr>
            <w:tcW w:w="1707" w:type="dxa"/>
            <w:shd w:val="clear" w:color="auto" w:fill="FFCCCC"/>
          </w:tcPr>
          <w:p w14:paraId="5B88F601" w14:textId="77777777" w:rsidR="0044371A" w:rsidRPr="000732D8" w:rsidRDefault="0044371A" w:rsidP="00C36049">
            <w:pPr>
              <w:spacing w:after="0" w:line="240" w:lineRule="auto"/>
              <w:jc w:val="both"/>
              <w:rPr>
                <w:rFonts w:eastAsia="Times New Roman" w:cstheme="minorHAnsi"/>
                <w:kern w:val="0"/>
                <w:lang w:val="en-GB" w:eastAsia="lv-LV"/>
                <w14:ligatures w14:val="none"/>
              </w:rPr>
            </w:pPr>
            <w:r w:rsidRPr="000732D8">
              <w:rPr>
                <w:rFonts w:cstheme="minorHAnsi"/>
                <w:lang w:val="en-GB"/>
              </w:rPr>
              <w:t>-1 307 579,19</w:t>
            </w:r>
          </w:p>
        </w:tc>
      </w:tr>
      <w:tr w:rsidR="0044371A" w:rsidRPr="000732D8" w14:paraId="5B9A5BFF" w14:textId="77777777">
        <w:trPr>
          <w:trHeight w:val="300"/>
        </w:trPr>
        <w:tc>
          <w:tcPr>
            <w:tcW w:w="2263" w:type="dxa"/>
            <w:noWrap/>
            <w:vAlign w:val="center"/>
          </w:tcPr>
          <w:p w14:paraId="66223DF6" w14:textId="77777777" w:rsidR="0044371A" w:rsidRPr="000732D8" w:rsidRDefault="0044371A" w:rsidP="00C36049">
            <w:pPr>
              <w:spacing w:after="0" w:line="240" w:lineRule="auto"/>
              <w:jc w:val="both"/>
              <w:rPr>
                <w:rFonts w:eastAsia="Times New Roman" w:cstheme="minorHAnsi"/>
                <w:color w:val="000000"/>
                <w:kern w:val="0"/>
                <w:lang w:val="en-GB" w:eastAsia="lv-LV"/>
                <w14:ligatures w14:val="none"/>
              </w:rPr>
            </w:pPr>
            <w:r w:rsidRPr="000732D8">
              <w:rPr>
                <w:rFonts w:eastAsia="Times New Roman" w:cstheme="minorHAnsi"/>
                <w:color w:val="000000"/>
                <w:kern w:val="0"/>
                <w:lang w:val="en-GB" w:eastAsia="lv-LV"/>
                <w14:ligatures w14:val="none"/>
              </w:rPr>
              <w:t>September 2023</w:t>
            </w:r>
          </w:p>
        </w:tc>
        <w:tc>
          <w:tcPr>
            <w:tcW w:w="1707" w:type="dxa"/>
            <w:shd w:val="clear" w:color="auto" w:fill="FFCCCC"/>
          </w:tcPr>
          <w:p w14:paraId="4AAFF6C2" w14:textId="77777777" w:rsidR="0044371A" w:rsidRPr="000732D8" w:rsidRDefault="0044371A" w:rsidP="00C36049">
            <w:pPr>
              <w:spacing w:after="0" w:line="240" w:lineRule="auto"/>
              <w:jc w:val="both"/>
              <w:rPr>
                <w:rFonts w:eastAsia="Times New Roman" w:cstheme="minorHAnsi"/>
                <w:kern w:val="0"/>
                <w:lang w:val="en-GB" w:eastAsia="lv-LV"/>
                <w14:ligatures w14:val="none"/>
              </w:rPr>
            </w:pPr>
            <w:r w:rsidRPr="000732D8">
              <w:rPr>
                <w:rFonts w:cstheme="minorHAnsi"/>
                <w:lang w:val="en-GB"/>
              </w:rPr>
              <w:t>-13 515 124,25</w:t>
            </w:r>
          </w:p>
        </w:tc>
      </w:tr>
      <w:tr w:rsidR="0044371A" w:rsidRPr="000732D8" w14:paraId="415CE709" w14:textId="77777777">
        <w:trPr>
          <w:trHeight w:val="300"/>
        </w:trPr>
        <w:tc>
          <w:tcPr>
            <w:tcW w:w="2263" w:type="dxa"/>
            <w:noWrap/>
            <w:vAlign w:val="center"/>
          </w:tcPr>
          <w:p w14:paraId="4BC83894" w14:textId="77777777" w:rsidR="0044371A" w:rsidRPr="000732D8" w:rsidRDefault="0044371A" w:rsidP="00C36049">
            <w:pPr>
              <w:spacing w:after="0" w:line="240" w:lineRule="auto"/>
              <w:jc w:val="both"/>
              <w:rPr>
                <w:rFonts w:eastAsia="Times New Roman" w:cstheme="minorHAnsi"/>
                <w:color w:val="000000"/>
                <w:kern w:val="0"/>
                <w:lang w:val="en-GB" w:eastAsia="lv-LV"/>
                <w14:ligatures w14:val="none"/>
              </w:rPr>
            </w:pPr>
            <w:r w:rsidRPr="000732D8">
              <w:rPr>
                <w:rFonts w:eastAsia="Times New Roman" w:cstheme="minorHAnsi"/>
                <w:color w:val="000000"/>
                <w:kern w:val="0"/>
                <w:lang w:val="en-GB" w:eastAsia="lv-LV"/>
                <w14:ligatures w14:val="none"/>
              </w:rPr>
              <w:t>October 2023</w:t>
            </w:r>
          </w:p>
        </w:tc>
        <w:tc>
          <w:tcPr>
            <w:tcW w:w="1707" w:type="dxa"/>
            <w:shd w:val="clear" w:color="auto" w:fill="FFCCCC"/>
          </w:tcPr>
          <w:p w14:paraId="5B2F51AB" w14:textId="77777777" w:rsidR="0044371A" w:rsidRPr="000732D8" w:rsidRDefault="0044371A" w:rsidP="00C36049">
            <w:pPr>
              <w:spacing w:after="0" w:line="240" w:lineRule="auto"/>
              <w:jc w:val="both"/>
              <w:rPr>
                <w:rFonts w:eastAsia="Times New Roman" w:cstheme="minorHAnsi"/>
                <w:kern w:val="0"/>
                <w:lang w:val="en-GB" w:eastAsia="lv-LV"/>
                <w14:ligatures w14:val="none"/>
              </w:rPr>
            </w:pPr>
            <w:r w:rsidRPr="000732D8">
              <w:rPr>
                <w:rFonts w:cstheme="minorHAnsi"/>
                <w:lang w:val="en-GB"/>
              </w:rPr>
              <w:t>-5 550 460,82</w:t>
            </w:r>
          </w:p>
        </w:tc>
      </w:tr>
      <w:tr w:rsidR="0044371A" w:rsidRPr="000732D8" w14:paraId="197C3E9C" w14:textId="77777777">
        <w:trPr>
          <w:trHeight w:val="300"/>
        </w:trPr>
        <w:tc>
          <w:tcPr>
            <w:tcW w:w="2263" w:type="dxa"/>
            <w:noWrap/>
            <w:vAlign w:val="center"/>
          </w:tcPr>
          <w:p w14:paraId="24181CE9" w14:textId="77777777" w:rsidR="0044371A" w:rsidRPr="000732D8" w:rsidRDefault="0044371A" w:rsidP="00C36049">
            <w:pPr>
              <w:spacing w:after="0" w:line="240" w:lineRule="auto"/>
              <w:jc w:val="both"/>
              <w:rPr>
                <w:rFonts w:eastAsia="Times New Roman" w:cstheme="minorHAnsi"/>
                <w:color w:val="000000"/>
                <w:kern w:val="0"/>
                <w:lang w:val="en-GB" w:eastAsia="lv-LV"/>
                <w14:ligatures w14:val="none"/>
              </w:rPr>
            </w:pPr>
            <w:r w:rsidRPr="000732D8">
              <w:rPr>
                <w:rFonts w:eastAsia="Times New Roman" w:cstheme="minorHAnsi"/>
                <w:color w:val="000000"/>
                <w:kern w:val="0"/>
                <w:lang w:val="en-GB" w:eastAsia="lv-LV"/>
                <w14:ligatures w14:val="none"/>
              </w:rPr>
              <w:t>November 2023</w:t>
            </w:r>
          </w:p>
        </w:tc>
        <w:tc>
          <w:tcPr>
            <w:tcW w:w="1707" w:type="dxa"/>
            <w:shd w:val="clear" w:color="auto" w:fill="FFCCCC"/>
          </w:tcPr>
          <w:p w14:paraId="4C19EBEA" w14:textId="77777777" w:rsidR="0044371A" w:rsidRPr="000732D8" w:rsidRDefault="0044371A" w:rsidP="00C36049">
            <w:pPr>
              <w:spacing w:after="0" w:line="240" w:lineRule="auto"/>
              <w:jc w:val="both"/>
              <w:rPr>
                <w:rFonts w:eastAsia="Times New Roman" w:cstheme="minorHAnsi"/>
                <w:kern w:val="0"/>
                <w:lang w:val="en-GB" w:eastAsia="lv-LV"/>
                <w14:ligatures w14:val="none"/>
              </w:rPr>
            </w:pPr>
            <w:r w:rsidRPr="000732D8">
              <w:rPr>
                <w:rFonts w:cstheme="minorHAnsi"/>
                <w:lang w:val="en-GB"/>
              </w:rPr>
              <w:t>-1 399 471,26</w:t>
            </w:r>
          </w:p>
        </w:tc>
      </w:tr>
      <w:tr w:rsidR="0044371A" w:rsidRPr="000732D8" w14:paraId="0A70366D" w14:textId="77777777">
        <w:trPr>
          <w:trHeight w:val="300"/>
        </w:trPr>
        <w:tc>
          <w:tcPr>
            <w:tcW w:w="2263" w:type="dxa"/>
            <w:noWrap/>
            <w:vAlign w:val="center"/>
          </w:tcPr>
          <w:p w14:paraId="4E7AAEE7" w14:textId="77777777" w:rsidR="0044371A" w:rsidRPr="000732D8" w:rsidRDefault="0044371A" w:rsidP="00C36049">
            <w:pPr>
              <w:spacing w:after="0" w:line="240" w:lineRule="auto"/>
              <w:jc w:val="both"/>
              <w:rPr>
                <w:rFonts w:eastAsia="Times New Roman" w:cstheme="minorHAnsi"/>
                <w:color w:val="000000"/>
                <w:kern w:val="0"/>
                <w:lang w:val="en-GB" w:eastAsia="lv-LV"/>
                <w14:ligatures w14:val="none"/>
              </w:rPr>
            </w:pPr>
            <w:r w:rsidRPr="000732D8">
              <w:rPr>
                <w:rFonts w:eastAsia="Times New Roman" w:cstheme="minorHAnsi"/>
                <w:color w:val="000000"/>
                <w:kern w:val="0"/>
                <w:lang w:val="en-GB" w:eastAsia="lv-LV"/>
                <w14:ligatures w14:val="none"/>
              </w:rPr>
              <w:t>December 2023</w:t>
            </w:r>
          </w:p>
        </w:tc>
        <w:tc>
          <w:tcPr>
            <w:tcW w:w="1707" w:type="dxa"/>
            <w:shd w:val="clear" w:color="auto" w:fill="C5E0B3" w:themeFill="accent6" w:themeFillTint="66"/>
          </w:tcPr>
          <w:p w14:paraId="5394B1A7" w14:textId="77777777" w:rsidR="0044371A" w:rsidRPr="000732D8" w:rsidRDefault="0044371A" w:rsidP="00C36049">
            <w:pPr>
              <w:spacing w:after="0" w:line="240" w:lineRule="auto"/>
              <w:jc w:val="both"/>
              <w:rPr>
                <w:rFonts w:eastAsia="Times New Roman" w:cstheme="minorHAnsi"/>
                <w:kern w:val="0"/>
                <w:lang w:val="en-GB" w:eastAsia="lv-LV"/>
                <w14:ligatures w14:val="none"/>
              </w:rPr>
            </w:pPr>
            <w:r w:rsidRPr="000732D8">
              <w:rPr>
                <w:rFonts w:eastAsia="Times New Roman" w:cstheme="minorHAnsi"/>
                <w:kern w:val="0"/>
                <w:lang w:val="en-GB" w:eastAsia="lv-LV"/>
                <w14:ligatures w14:val="none"/>
              </w:rPr>
              <w:t>616 050,25</w:t>
            </w:r>
          </w:p>
        </w:tc>
      </w:tr>
      <w:tr w:rsidR="0044371A" w:rsidRPr="000732D8" w14:paraId="1A3A7AF0" w14:textId="77777777">
        <w:trPr>
          <w:trHeight w:val="300"/>
        </w:trPr>
        <w:tc>
          <w:tcPr>
            <w:tcW w:w="3970" w:type="dxa"/>
            <w:gridSpan w:val="2"/>
            <w:noWrap/>
            <w:vAlign w:val="center"/>
          </w:tcPr>
          <w:p w14:paraId="0DE4B683" w14:textId="57341F3D" w:rsidR="0044371A" w:rsidRPr="000732D8" w:rsidRDefault="00881C44" w:rsidP="00C36049">
            <w:pPr>
              <w:spacing w:after="0" w:line="240" w:lineRule="auto"/>
              <w:jc w:val="both"/>
              <w:rPr>
                <w:rFonts w:eastAsia="Times New Roman" w:cstheme="minorHAnsi"/>
                <w:i/>
                <w:iCs/>
                <w:kern w:val="0"/>
                <w:lang w:val="en-GB" w:eastAsia="lv-LV"/>
                <w14:ligatures w14:val="none"/>
              </w:rPr>
            </w:pPr>
            <w:r w:rsidRPr="000732D8">
              <w:rPr>
                <w:rFonts w:eastAsia="Times New Roman" w:cstheme="minorHAnsi"/>
                <w:i/>
                <w:iCs/>
                <w:color w:val="000000"/>
                <w:kern w:val="0"/>
                <w:lang w:val="en-GB" w:eastAsia="lv-LV"/>
                <w14:ligatures w14:val="none"/>
              </w:rPr>
              <w:t xml:space="preserve">ESTLINK </w:t>
            </w:r>
            <w:r w:rsidR="0044371A" w:rsidRPr="000732D8">
              <w:rPr>
                <w:rFonts w:eastAsia="Times New Roman" w:cstheme="minorHAnsi"/>
                <w:i/>
                <w:iCs/>
                <w:color w:val="000000"/>
                <w:kern w:val="0"/>
                <w:lang w:val="en-GB" w:eastAsia="lv-LV"/>
                <w14:ligatures w14:val="none"/>
              </w:rPr>
              <w:t>2 outage 26.1.-2.9.2024</w:t>
            </w:r>
          </w:p>
        </w:tc>
      </w:tr>
      <w:tr w:rsidR="0044371A" w:rsidRPr="000732D8" w14:paraId="0086A83A" w14:textId="77777777">
        <w:trPr>
          <w:trHeight w:val="300"/>
        </w:trPr>
        <w:tc>
          <w:tcPr>
            <w:tcW w:w="2263" w:type="dxa"/>
            <w:noWrap/>
            <w:vAlign w:val="center"/>
          </w:tcPr>
          <w:p w14:paraId="508AF745" w14:textId="77777777" w:rsidR="0044371A" w:rsidRPr="000732D8" w:rsidRDefault="0044371A" w:rsidP="00C36049">
            <w:pPr>
              <w:spacing w:after="0" w:line="240" w:lineRule="auto"/>
              <w:jc w:val="both"/>
              <w:rPr>
                <w:rFonts w:eastAsia="Times New Roman" w:cstheme="minorHAnsi"/>
                <w:color w:val="000000"/>
                <w:kern w:val="0"/>
                <w:lang w:val="en-GB" w:eastAsia="lv-LV"/>
                <w14:ligatures w14:val="none"/>
              </w:rPr>
            </w:pPr>
            <w:r w:rsidRPr="000732D8">
              <w:rPr>
                <w:rFonts w:eastAsia="Times New Roman" w:cstheme="minorHAnsi"/>
                <w:color w:val="000000"/>
                <w:kern w:val="0"/>
                <w:lang w:val="en-GB" w:eastAsia="lv-LV"/>
                <w14:ligatures w14:val="none"/>
              </w:rPr>
              <w:t>October 2024</w:t>
            </w:r>
          </w:p>
        </w:tc>
        <w:tc>
          <w:tcPr>
            <w:tcW w:w="1707" w:type="dxa"/>
            <w:shd w:val="clear" w:color="auto" w:fill="FFCCCC"/>
          </w:tcPr>
          <w:p w14:paraId="7E3CE0BD" w14:textId="77777777" w:rsidR="0044371A" w:rsidRPr="000732D8" w:rsidRDefault="0044371A" w:rsidP="00C36049">
            <w:pPr>
              <w:spacing w:after="0" w:line="240" w:lineRule="auto"/>
              <w:jc w:val="both"/>
              <w:rPr>
                <w:rFonts w:eastAsia="Times New Roman" w:cstheme="minorHAnsi"/>
                <w:kern w:val="0"/>
                <w:lang w:val="en-GB" w:eastAsia="lv-LV"/>
                <w14:ligatures w14:val="none"/>
              </w:rPr>
            </w:pPr>
            <w:r w:rsidRPr="000732D8">
              <w:rPr>
                <w:rFonts w:cstheme="minorHAnsi"/>
                <w:lang w:val="en-GB"/>
              </w:rPr>
              <w:t>-5 506 394,75</w:t>
            </w:r>
          </w:p>
        </w:tc>
      </w:tr>
      <w:tr w:rsidR="0044371A" w:rsidRPr="000732D8" w14:paraId="76A45A7A" w14:textId="77777777">
        <w:trPr>
          <w:trHeight w:val="300"/>
        </w:trPr>
        <w:tc>
          <w:tcPr>
            <w:tcW w:w="2263" w:type="dxa"/>
            <w:noWrap/>
            <w:vAlign w:val="center"/>
          </w:tcPr>
          <w:p w14:paraId="48F06C65" w14:textId="4C9EE2F4" w:rsidR="0044371A" w:rsidRPr="000732D8" w:rsidRDefault="00894976" w:rsidP="00C36049">
            <w:pPr>
              <w:spacing w:after="0" w:line="240" w:lineRule="auto"/>
              <w:jc w:val="both"/>
              <w:rPr>
                <w:rFonts w:eastAsia="Times New Roman" w:cstheme="minorHAnsi"/>
                <w:color w:val="000000"/>
                <w:kern w:val="0"/>
                <w:lang w:val="en-GB" w:eastAsia="lv-LV"/>
                <w14:ligatures w14:val="none"/>
              </w:rPr>
            </w:pPr>
            <w:r w:rsidRPr="000732D8">
              <w:rPr>
                <w:rFonts w:eastAsia="Times New Roman" w:cstheme="minorHAnsi"/>
                <w:color w:val="000000"/>
                <w:kern w:val="0"/>
                <w:lang w:val="en-GB" w:eastAsia="lv-LV"/>
                <w14:ligatures w14:val="none"/>
              </w:rPr>
              <w:t>November</w:t>
            </w:r>
            <w:r w:rsidR="0044371A" w:rsidRPr="000732D8">
              <w:rPr>
                <w:rFonts w:eastAsia="Times New Roman" w:cstheme="minorHAnsi"/>
                <w:color w:val="000000"/>
                <w:kern w:val="0"/>
                <w:lang w:val="en-GB" w:eastAsia="lv-LV"/>
                <w14:ligatures w14:val="none"/>
              </w:rPr>
              <w:t xml:space="preserve"> 2024</w:t>
            </w:r>
          </w:p>
        </w:tc>
        <w:tc>
          <w:tcPr>
            <w:tcW w:w="1707" w:type="dxa"/>
            <w:shd w:val="clear" w:color="auto" w:fill="FFCCCC"/>
          </w:tcPr>
          <w:p w14:paraId="4A7B48CA" w14:textId="77777777" w:rsidR="0044371A" w:rsidRPr="000732D8" w:rsidRDefault="0044371A" w:rsidP="00C36049">
            <w:pPr>
              <w:spacing w:after="0" w:line="240" w:lineRule="auto"/>
              <w:jc w:val="both"/>
              <w:rPr>
                <w:rFonts w:eastAsia="Times New Roman" w:cstheme="minorHAnsi"/>
                <w:kern w:val="0"/>
                <w:lang w:val="en-GB" w:eastAsia="lv-LV"/>
                <w14:ligatures w14:val="none"/>
              </w:rPr>
            </w:pPr>
            <w:r w:rsidRPr="000732D8">
              <w:rPr>
                <w:rFonts w:cstheme="minorHAnsi"/>
                <w:lang w:val="en-GB"/>
              </w:rPr>
              <w:t>-1 617 549,75</w:t>
            </w:r>
          </w:p>
        </w:tc>
      </w:tr>
      <w:tr w:rsidR="0044371A" w:rsidRPr="000732D8" w14:paraId="3A9CDB9B" w14:textId="77777777">
        <w:trPr>
          <w:trHeight w:val="300"/>
        </w:trPr>
        <w:tc>
          <w:tcPr>
            <w:tcW w:w="3970" w:type="dxa"/>
            <w:gridSpan w:val="2"/>
            <w:noWrap/>
          </w:tcPr>
          <w:p w14:paraId="1A2FE625" w14:textId="36EA1E06" w:rsidR="0044371A" w:rsidRPr="000732D8" w:rsidRDefault="00165D96" w:rsidP="00C36049">
            <w:pPr>
              <w:spacing w:after="0" w:line="240" w:lineRule="auto"/>
              <w:jc w:val="both"/>
              <w:rPr>
                <w:rFonts w:eastAsia="Times New Roman" w:cstheme="minorHAnsi"/>
                <w:i/>
                <w:iCs/>
                <w:color w:val="000000"/>
                <w:kern w:val="0"/>
                <w:lang w:val="en-GB" w:eastAsia="lv-LV"/>
                <w14:ligatures w14:val="none"/>
              </w:rPr>
            </w:pPr>
            <w:r w:rsidRPr="000732D8">
              <w:rPr>
                <w:rFonts w:eastAsia="Times New Roman" w:cstheme="minorHAnsi"/>
                <w:i/>
                <w:iCs/>
                <w:color w:val="000000"/>
                <w:kern w:val="0"/>
                <w:lang w:val="en-GB" w:eastAsia="lv-LV"/>
                <w14:ligatures w14:val="none"/>
              </w:rPr>
              <w:t xml:space="preserve">ESTLINK </w:t>
            </w:r>
            <w:r w:rsidR="0044371A" w:rsidRPr="000732D8">
              <w:rPr>
                <w:rFonts w:eastAsia="Times New Roman" w:cstheme="minorHAnsi"/>
                <w:i/>
                <w:iCs/>
                <w:color w:val="000000"/>
                <w:kern w:val="0"/>
                <w:lang w:val="en-GB" w:eastAsia="lv-LV"/>
                <w14:ligatures w14:val="none"/>
              </w:rPr>
              <w:t>2 outage 25.12.2024-19.6.2025</w:t>
            </w:r>
          </w:p>
        </w:tc>
      </w:tr>
      <w:tr w:rsidR="0044371A" w:rsidRPr="000732D8" w14:paraId="6B733BEE" w14:textId="77777777">
        <w:trPr>
          <w:trHeight w:val="300"/>
        </w:trPr>
        <w:tc>
          <w:tcPr>
            <w:tcW w:w="2263" w:type="dxa"/>
            <w:noWrap/>
            <w:vAlign w:val="center"/>
            <w:hideMark/>
          </w:tcPr>
          <w:p w14:paraId="2EA18BB2" w14:textId="77777777" w:rsidR="0044371A" w:rsidRPr="000732D8" w:rsidRDefault="0044371A" w:rsidP="00C36049">
            <w:pPr>
              <w:spacing w:after="0" w:line="240" w:lineRule="auto"/>
              <w:jc w:val="both"/>
              <w:rPr>
                <w:rFonts w:eastAsia="Times New Roman" w:cstheme="minorHAnsi"/>
                <w:color w:val="000000"/>
                <w:kern w:val="0"/>
                <w:lang w:val="en-GB" w:eastAsia="lv-LV"/>
                <w14:ligatures w14:val="none"/>
              </w:rPr>
            </w:pPr>
            <w:r w:rsidRPr="000732D8">
              <w:rPr>
                <w:rFonts w:eastAsia="Times New Roman" w:cstheme="minorHAnsi"/>
                <w:color w:val="000000"/>
                <w:kern w:val="0"/>
                <w:lang w:val="en-GB" w:eastAsia="lv-LV"/>
                <w14:ligatures w14:val="none"/>
              </w:rPr>
              <w:t>July 2025</w:t>
            </w:r>
          </w:p>
        </w:tc>
        <w:tc>
          <w:tcPr>
            <w:tcW w:w="1707" w:type="dxa"/>
            <w:shd w:val="clear" w:color="auto" w:fill="C5E0B3" w:themeFill="accent6" w:themeFillTint="66"/>
          </w:tcPr>
          <w:p w14:paraId="067902F6" w14:textId="77777777" w:rsidR="0044371A" w:rsidRPr="000732D8" w:rsidRDefault="0044371A" w:rsidP="00C36049">
            <w:pPr>
              <w:spacing w:after="0" w:line="240" w:lineRule="auto"/>
              <w:jc w:val="both"/>
              <w:rPr>
                <w:rFonts w:eastAsia="Times New Roman" w:cstheme="minorHAnsi"/>
                <w:kern w:val="0"/>
                <w:lang w:val="en-GB" w:eastAsia="lv-LV"/>
                <w14:ligatures w14:val="none"/>
              </w:rPr>
            </w:pPr>
            <w:r w:rsidRPr="000732D8">
              <w:rPr>
                <w:rFonts w:eastAsia="Times New Roman" w:cstheme="minorHAnsi"/>
                <w:kern w:val="0"/>
                <w:lang w:val="en-GB" w:eastAsia="lv-LV"/>
                <w14:ligatures w14:val="none"/>
              </w:rPr>
              <w:t>4 054 424,38</w:t>
            </w:r>
          </w:p>
        </w:tc>
      </w:tr>
      <w:tr w:rsidR="0044371A" w:rsidRPr="000732D8" w14:paraId="419EF957" w14:textId="77777777">
        <w:trPr>
          <w:trHeight w:val="300"/>
        </w:trPr>
        <w:tc>
          <w:tcPr>
            <w:tcW w:w="2263" w:type="dxa"/>
            <w:noWrap/>
            <w:vAlign w:val="center"/>
          </w:tcPr>
          <w:p w14:paraId="3ECF0BE0" w14:textId="77777777" w:rsidR="0044371A" w:rsidRPr="000732D8" w:rsidRDefault="0044371A" w:rsidP="00C36049">
            <w:pPr>
              <w:spacing w:after="0" w:line="240" w:lineRule="auto"/>
              <w:jc w:val="both"/>
              <w:rPr>
                <w:rFonts w:eastAsia="Times New Roman" w:cstheme="minorHAnsi"/>
                <w:color w:val="000000"/>
                <w:kern w:val="0"/>
                <w:lang w:val="en-GB" w:eastAsia="lv-LV"/>
                <w14:ligatures w14:val="none"/>
              </w:rPr>
            </w:pPr>
            <w:r w:rsidRPr="000732D8">
              <w:rPr>
                <w:rFonts w:eastAsia="Times New Roman" w:cstheme="minorHAnsi"/>
                <w:color w:val="000000"/>
                <w:kern w:val="0"/>
                <w:lang w:val="en-GB" w:eastAsia="lv-LV"/>
                <w14:ligatures w14:val="none"/>
              </w:rPr>
              <w:t>August 2025</w:t>
            </w:r>
          </w:p>
        </w:tc>
        <w:tc>
          <w:tcPr>
            <w:tcW w:w="1707" w:type="dxa"/>
            <w:shd w:val="clear" w:color="auto" w:fill="FFCCCC"/>
          </w:tcPr>
          <w:p w14:paraId="2807784D" w14:textId="77777777" w:rsidR="0044371A" w:rsidRPr="000732D8" w:rsidRDefault="0044371A" w:rsidP="00C36049">
            <w:pPr>
              <w:spacing w:after="0" w:line="240" w:lineRule="auto"/>
              <w:jc w:val="both"/>
              <w:rPr>
                <w:rFonts w:eastAsia="Times New Roman" w:cstheme="minorHAnsi"/>
                <w:kern w:val="0"/>
                <w:lang w:val="en-GB" w:eastAsia="lv-LV"/>
                <w14:ligatures w14:val="none"/>
              </w:rPr>
            </w:pPr>
            <w:r w:rsidRPr="000732D8">
              <w:rPr>
                <w:rFonts w:eastAsia="Times New Roman" w:cstheme="minorHAnsi"/>
                <w:kern w:val="0"/>
                <w:lang w:val="en-GB" w:eastAsia="lv-LV"/>
                <w14:ligatures w14:val="none"/>
              </w:rPr>
              <w:t>-459 776,49</w:t>
            </w:r>
          </w:p>
        </w:tc>
      </w:tr>
      <w:tr w:rsidR="0044371A" w:rsidRPr="000732D8" w14:paraId="329C4FF9" w14:textId="77777777">
        <w:trPr>
          <w:trHeight w:val="300"/>
        </w:trPr>
        <w:tc>
          <w:tcPr>
            <w:tcW w:w="2263" w:type="dxa"/>
            <w:noWrap/>
            <w:vAlign w:val="center"/>
          </w:tcPr>
          <w:p w14:paraId="0AD05081" w14:textId="77777777" w:rsidR="0044371A" w:rsidRPr="000732D8" w:rsidRDefault="0044371A" w:rsidP="00C36049">
            <w:pPr>
              <w:spacing w:after="0" w:line="240" w:lineRule="auto"/>
              <w:jc w:val="both"/>
              <w:rPr>
                <w:rFonts w:eastAsia="Times New Roman" w:cstheme="minorHAnsi"/>
                <w:color w:val="000000"/>
                <w:kern w:val="0"/>
                <w:lang w:val="en-GB" w:eastAsia="lv-LV"/>
                <w14:ligatures w14:val="none"/>
              </w:rPr>
            </w:pPr>
            <w:r w:rsidRPr="000732D8">
              <w:rPr>
                <w:rFonts w:eastAsia="Times New Roman" w:cstheme="minorHAnsi"/>
                <w:color w:val="000000"/>
                <w:kern w:val="0"/>
                <w:lang w:val="en-GB" w:eastAsia="lv-LV"/>
                <w14:ligatures w14:val="none"/>
              </w:rPr>
              <w:t>September 2025</w:t>
            </w:r>
          </w:p>
        </w:tc>
        <w:tc>
          <w:tcPr>
            <w:tcW w:w="1707" w:type="dxa"/>
            <w:shd w:val="clear" w:color="auto" w:fill="FFCCCC"/>
          </w:tcPr>
          <w:p w14:paraId="74AD2CCB" w14:textId="77777777" w:rsidR="0044371A" w:rsidRPr="000732D8" w:rsidRDefault="0044371A" w:rsidP="00C36049">
            <w:pPr>
              <w:spacing w:after="0" w:line="240" w:lineRule="auto"/>
              <w:jc w:val="both"/>
              <w:rPr>
                <w:rFonts w:eastAsia="Times New Roman" w:cstheme="minorHAnsi"/>
                <w:kern w:val="0"/>
                <w:lang w:val="en-GB" w:eastAsia="lv-LV"/>
                <w14:ligatures w14:val="none"/>
              </w:rPr>
            </w:pPr>
            <w:r w:rsidRPr="000732D8">
              <w:rPr>
                <w:rFonts w:eastAsia="Times New Roman" w:cstheme="minorHAnsi"/>
                <w:kern w:val="0"/>
                <w:lang w:val="en-GB" w:eastAsia="lv-LV"/>
                <w14:ligatures w14:val="none"/>
              </w:rPr>
              <w:t>-3 724 773,50</w:t>
            </w:r>
          </w:p>
        </w:tc>
      </w:tr>
      <w:tr w:rsidR="00D90A8A" w:rsidRPr="000732D8" w14:paraId="7266B916" w14:textId="77777777">
        <w:trPr>
          <w:trHeight w:val="300"/>
        </w:trPr>
        <w:tc>
          <w:tcPr>
            <w:tcW w:w="2263" w:type="dxa"/>
            <w:noWrap/>
            <w:vAlign w:val="center"/>
          </w:tcPr>
          <w:p w14:paraId="3819F71B" w14:textId="4E450F91" w:rsidR="00D90A8A" w:rsidRPr="000732D8" w:rsidRDefault="00D90A8A" w:rsidP="00D90A8A">
            <w:pPr>
              <w:spacing w:after="0" w:line="240" w:lineRule="auto"/>
              <w:jc w:val="both"/>
              <w:rPr>
                <w:rFonts w:eastAsia="Times New Roman" w:cstheme="minorHAnsi"/>
                <w:color w:val="000000"/>
                <w:kern w:val="0"/>
                <w:lang w:val="en-GB" w:eastAsia="lv-LV"/>
                <w14:ligatures w14:val="none"/>
              </w:rPr>
            </w:pPr>
            <w:r>
              <w:rPr>
                <w:rFonts w:ascii="Calibri" w:eastAsia="Times New Roman" w:hAnsi="Calibri" w:cs="Calibri"/>
                <w:color w:val="000000"/>
                <w:kern w:val="0"/>
                <w:lang w:eastAsia="lv-LV"/>
                <w14:ligatures w14:val="none"/>
              </w:rPr>
              <w:t>October 2025</w:t>
            </w:r>
          </w:p>
        </w:tc>
        <w:tc>
          <w:tcPr>
            <w:tcW w:w="1707" w:type="dxa"/>
            <w:shd w:val="clear" w:color="auto" w:fill="FFCCCC"/>
          </w:tcPr>
          <w:p w14:paraId="57299C87" w14:textId="4A7304E4" w:rsidR="00D90A8A" w:rsidRPr="000732D8" w:rsidRDefault="00D90A8A" w:rsidP="00D90A8A">
            <w:pPr>
              <w:spacing w:after="0" w:line="240" w:lineRule="auto"/>
              <w:jc w:val="both"/>
              <w:rPr>
                <w:rFonts w:eastAsia="Times New Roman" w:cstheme="minorHAnsi"/>
                <w:kern w:val="0"/>
                <w:lang w:val="en-GB" w:eastAsia="lv-LV"/>
                <w14:ligatures w14:val="none"/>
              </w:rPr>
            </w:pPr>
            <w:r w:rsidRPr="002C51DF">
              <w:rPr>
                <w:rFonts w:ascii="Calibri" w:eastAsia="Times New Roman" w:hAnsi="Calibri" w:cs="Calibri"/>
                <w:kern w:val="0"/>
                <w:lang w:eastAsia="lv-LV"/>
                <w14:ligatures w14:val="none"/>
              </w:rPr>
              <w:t>-3</w:t>
            </w:r>
            <w:r>
              <w:rPr>
                <w:rFonts w:ascii="Calibri" w:eastAsia="Times New Roman" w:hAnsi="Calibri" w:cs="Calibri"/>
                <w:kern w:val="0"/>
                <w:lang w:eastAsia="lv-LV"/>
                <w14:ligatures w14:val="none"/>
              </w:rPr>
              <w:t> </w:t>
            </w:r>
            <w:r w:rsidRPr="002C51DF">
              <w:rPr>
                <w:rFonts w:ascii="Calibri" w:eastAsia="Times New Roman" w:hAnsi="Calibri" w:cs="Calibri"/>
                <w:kern w:val="0"/>
                <w:lang w:eastAsia="lv-LV"/>
                <w14:ligatures w14:val="none"/>
              </w:rPr>
              <w:t>341</w:t>
            </w:r>
            <w:r>
              <w:rPr>
                <w:rFonts w:ascii="Calibri" w:eastAsia="Times New Roman" w:hAnsi="Calibri" w:cs="Calibri"/>
                <w:kern w:val="0"/>
                <w:lang w:eastAsia="lv-LV"/>
                <w14:ligatures w14:val="none"/>
              </w:rPr>
              <w:t xml:space="preserve"> </w:t>
            </w:r>
            <w:r w:rsidRPr="002C51DF">
              <w:rPr>
                <w:rFonts w:ascii="Calibri" w:eastAsia="Times New Roman" w:hAnsi="Calibri" w:cs="Calibri"/>
                <w:kern w:val="0"/>
                <w:lang w:eastAsia="lv-LV"/>
                <w14:ligatures w14:val="none"/>
              </w:rPr>
              <w:t>976,63</w:t>
            </w:r>
          </w:p>
        </w:tc>
      </w:tr>
      <w:tr w:rsidR="00D90A8A" w:rsidRPr="000732D8" w14:paraId="7D1BB47B" w14:textId="77777777">
        <w:trPr>
          <w:trHeight w:val="300"/>
        </w:trPr>
        <w:tc>
          <w:tcPr>
            <w:tcW w:w="2263" w:type="dxa"/>
            <w:noWrap/>
            <w:vAlign w:val="center"/>
          </w:tcPr>
          <w:p w14:paraId="16A88A16" w14:textId="2AE7BEBB" w:rsidR="00D90A8A" w:rsidRDefault="00D90A8A" w:rsidP="00D90A8A">
            <w:pPr>
              <w:spacing w:after="0" w:line="240" w:lineRule="auto"/>
              <w:jc w:val="both"/>
              <w:rPr>
                <w:rFonts w:ascii="Calibri" w:eastAsia="Times New Roman" w:hAnsi="Calibri" w:cs="Calibri"/>
                <w:color w:val="000000"/>
                <w:kern w:val="0"/>
                <w:lang w:eastAsia="lv-LV"/>
                <w14:ligatures w14:val="none"/>
              </w:rPr>
            </w:pPr>
            <w:r>
              <w:rPr>
                <w:rFonts w:ascii="Calibri" w:eastAsia="Times New Roman" w:hAnsi="Calibri" w:cs="Calibri"/>
                <w:color w:val="000000"/>
                <w:kern w:val="0"/>
                <w:lang w:eastAsia="lv-LV"/>
                <w14:ligatures w14:val="none"/>
              </w:rPr>
              <w:t>November 2025</w:t>
            </w:r>
          </w:p>
        </w:tc>
        <w:tc>
          <w:tcPr>
            <w:tcW w:w="1707" w:type="dxa"/>
            <w:shd w:val="clear" w:color="auto" w:fill="FFCCCC"/>
          </w:tcPr>
          <w:p w14:paraId="5AC61B8C" w14:textId="178CE314" w:rsidR="00D90A8A" w:rsidRPr="002C51DF" w:rsidRDefault="00D90A8A" w:rsidP="00D90A8A">
            <w:pPr>
              <w:spacing w:after="0" w:line="240" w:lineRule="auto"/>
              <w:jc w:val="both"/>
              <w:rPr>
                <w:rFonts w:ascii="Calibri" w:eastAsia="Times New Roman" w:hAnsi="Calibri" w:cs="Calibri"/>
                <w:kern w:val="0"/>
                <w:lang w:eastAsia="lv-LV"/>
                <w14:ligatures w14:val="none"/>
              </w:rPr>
            </w:pPr>
            <w:r w:rsidRPr="00CC3907">
              <w:rPr>
                <w:rFonts w:ascii="Calibri" w:eastAsia="Times New Roman" w:hAnsi="Calibri" w:cs="Calibri"/>
                <w:kern w:val="0"/>
                <w:lang w:eastAsia="lv-LV"/>
                <w14:ligatures w14:val="none"/>
              </w:rPr>
              <w:t>-4</w:t>
            </w:r>
            <w:r>
              <w:rPr>
                <w:rFonts w:ascii="Calibri" w:eastAsia="Times New Roman" w:hAnsi="Calibri" w:cs="Calibri"/>
                <w:kern w:val="0"/>
                <w:lang w:eastAsia="lv-LV"/>
                <w14:ligatures w14:val="none"/>
              </w:rPr>
              <w:t> </w:t>
            </w:r>
            <w:r w:rsidRPr="00CC3907">
              <w:rPr>
                <w:rFonts w:ascii="Calibri" w:eastAsia="Times New Roman" w:hAnsi="Calibri" w:cs="Calibri"/>
                <w:kern w:val="0"/>
                <w:lang w:eastAsia="lv-LV"/>
                <w14:ligatures w14:val="none"/>
              </w:rPr>
              <w:t>476</w:t>
            </w:r>
            <w:r>
              <w:rPr>
                <w:rFonts w:ascii="Calibri" w:eastAsia="Times New Roman" w:hAnsi="Calibri" w:cs="Calibri"/>
                <w:kern w:val="0"/>
                <w:lang w:eastAsia="lv-LV"/>
                <w14:ligatures w14:val="none"/>
              </w:rPr>
              <w:t xml:space="preserve"> </w:t>
            </w:r>
            <w:r w:rsidRPr="00CC3907">
              <w:rPr>
                <w:rFonts w:ascii="Calibri" w:eastAsia="Times New Roman" w:hAnsi="Calibri" w:cs="Calibri"/>
                <w:kern w:val="0"/>
                <w:lang w:eastAsia="lv-LV"/>
                <w14:ligatures w14:val="none"/>
              </w:rPr>
              <w:t>080,5</w:t>
            </w:r>
          </w:p>
        </w:tc>
      </w:tr>
    </w:tbl>
    <w:p w14:paraId="31B4D069" w14:textId="77777777" w:rsidR="0044371A" w:rsidRPr="000732D8" w:rsidRDefault="0044371A" w:rsidP="00757921">
      <w:pPr>
        <w:jc w:val="both"/>
        <w:rPr>
          <w:rFonts w:cstheme="minorHAnsi"/>
          <w:b/>
          <w:bCs/>
          <w:lang w:val="en-GB"/>
        </w:rPr>
      </w:pPr>
    </w:p>
    <w:p w14:paraId="00AC1488" w14:textId="77777777" w:rsidR="0044371A" w:rsidRPr="000732D8" w:rsidRDefault="0044371A" w:rsidP="00757921">
      <w:pPr>
        <w:jc w:val="both"/>
        <w:rPr>
          <w:rFonts w:cstheme="minorHAnsi"/>
          <w:b/>
          <w:bCs/>
          <w:lang w:val="en-GB"/>
        </w:rPr>
      </w:pPr>
    </w:p>
    <w:p w14:paraId="649C445A" w14:textId="77777777" w:rsidR="0044371A" w:rsidRPr="000732D8" w:rsidRDefault="0044371A" w:rsidP="00757921">
      <w:pPr>
        <w:jc w:val="both"/>
        <w:rPr>
          <w:rFonts w:cstheme="minorHAnsi"/>
          <w:b/>
          <w:bCs/>
          <w:lang w:val="en-GB"/>
        </w:rPr>
      </w:pPr>
    </w:p>
    <w:p w14:paraId="59F70B35" w14:textId="77777777" w:rsidR="0044371A" w:rsidRPr="000732D8" w:rsidRDefault="0044371A" w:rsidP="00757921">
      <w:pPr>
        <w:jc w:val="both"/>
        <w:rPr>
          <w:rFonts w:cstheme="minorHAnsi"/>
          <w:b/>
          <w:bCs/>
          <w:lang w:val="en-GB"/>
        </w:rPr>
      </w:pPr>
    </w:p>
    <w:p w14:paraId="7575E5BD" w14:textId="77777777" w:rsidR="0044371A" w:rsidRPr="000732D8" w:rsidRDefault="0044371A" w:rsidP="00757921">
      <w:pPr>
        <w:jc w:val="both"/>
        <w:rPr>
          <w:rFonts w:cstheme="minorHAnsi"/>
          <w:b/>
          <w:bCs/>
          <w:lang w:val="en-GB"/>
        </w:rPr>
      </w:pPr>
    </w:p>
    <w:p w14:paraId="46FB7CAB" w14:textId="77777777" w:rsidR="0044371A" w:rsidRPr="000732D8" w:rsidRDefault="0044371A" w:rsidP="00757921">
      <w:pPr>
        <w:jc w:val="both"/>
        <w:rPr>
          <w:rFonts w:cstheme="minorHAnsi"/>
          <w:b/>
          <w:bCs/>
          <w:lang w:val="en-GB"/>
        </w:rPr>
      </w:pPr>
    </w:p>
    <w:p w14:paraId="38EA9373" w14:textId="77777777" w:rsidR="0044371A" w:rsidRPr="000732D8" w:rsidRDefault="0044371A" w:rsidP="00757921">
      <w:pPr>
        <w:jc w:val="both"/>
        <w:rPr>
          <w:rFonts w:cstheme="minorHAnsi"/>
          <w:b/>
          <w:bCs/>
          <w:lang w:val="en-GB"/>
        </w:rPr>
      </w:pPr>
    </w:p>
    <w:p w14:paraId="1A2768C3" w14:textId="77777777" w:rsidR="0044371A" w:rsidRPr="000732D8" w:rsidRDefault="0044371A" w:rsidP="00757921">
      <w:pPr>
        <w:jc w:val="both"/>
        <w:rPr>
          <w:rFonts w:cstheme="minorHAnsi"/>
          <w:b/>
          <w:bCs/>
          <w:lang w:val="en-GB"/>
        </w:rPr>
      </w:pPr>
    </w:p>
    <w:p w14:paraId="74EACD57" w14:textId="77777777" w:rsidR="0044371A" w:rsidRPr="000732D8" w:rsidRDefault="0044371A" w:rsidP="00757921">
      <w:pPr>
        <w:jc w:val="both"/>
        <w:rPr>
          <w:rFonts w:cstheme="minorHAnsi"/>
          <w:b/>
          <w:bCs/>
          <w:lang w:val="en-GB"/>
        </w:rPr>
      </w:pPr>
    </w:p>
    <w:p w14:paraId="6ED46DE6" w14:textId="77777777" w:rsidR="0044371A" w:rsidRPr="000732D8" w:rsidRDefault="0044371A" w:rsidP="00757921">
      <w:pPr>
        <w:jc w:val="both"/>
        <w:rPr>
          <w:rFonts w:cstheme="minorHAnsi"/>
          <w:b/>
          <w:bCs/>
          <w:lang w:val="en-GB"/>
        </w:rPr>
      </w:pPr>
    </w:p>
    <w:p w14:paraId="668914F3" w14:textId="77777777" w:rsidR="0044371A" w:rsidRPr="000732D8" w:rsidRDefault="0044371A" w:rsidP="00757921">
      <w:pPr>
        <w:jc w:val="both"/>
        <w:rPr>
          <w:rFonts w:cstheme="minorHAnsi"/>
          <w:b/>
          <w:bCs/>
          <w:lang w:val="en-GB"/>
        </w:rPr>
      </w:pPr>
    </w:p>
    <w:p w14:paraId="33F5ACFB" w14:textId="77777777" w:rsidR="0044371A" w:rsidRPr="000732D8" w:rsidRDefault="0044371A" w:rsidP="00757921">
      <w:pPr>
        <w:jc w:val="both"/>
        <w:rPr>
          <w:rFonts w:cstheme="minorHAnsi"/>
          <w:b/>
          <w:bCs/>
          <w:lang w:val="en-GB"/>
        </w:rPr>
      </w:pPr>
    </w:p>
    <w:p w14:paraId="72F9F8F0" w14:textId="77777777" w:rsidR="0044371A" w:rsidRPr="000732D8" w:rsidRDefault="0044371A" w:rsidP="00757921">
      <w:pPr>
        <w:jc w:val="both"/>
        <w:rPr>
          <w:rFonts w:cstheme="minorHAnsi"/>
          <w:b/>
          <w:bCs/>
          <w:lang w:val="en-GB"/>
        </w:rPr>
      </w:pPr>
    </w:p>
    <w:p w14:paraId="7AD014A2" w14:textId="77777777" w:rsidR="0044371A" w:rsidRPr="000732D8" w:rsidRDefault="0044371A" w:rsidP="00757921">
      <w:pPr>
        <w:jc w:val="both"/>
        <w:rPr>
          <w:rFonts w:cstheme="minorHAnsi"/>
          <w:b/>
          <w:bCs/>
          <w:lang w:val="en-GB"/>
        </w:rPr>
      </w:pPr>
      <w:r w:rsidRPr="000732D8">
        <w:rPr>
          <w:rFonts w:cstheme="minorHAnsi"/>
          <w:b/>
          <w:bCs/>
          <w:lang w:val="en-GB"/>
        </w:rPr>
        <w:br/>
      </w:r>
    </w:p>
    <w:p w14:paraId="1BB47806" w14:textId="77777777" w:rsidR="0044371A" w:rsidRPr="000732D8" w:rsidRDefault="0044371A" w:rsidP="00757921">
      <w:pPr>
        <w:jc w:val="both"/>
        <w:rPr>
          <w:rFonts w:cstheme="minorHAnsi"/>
          <w:b/>
          <w:bCs/>
          <w:lang w:val="en-GB"/>
        </w:rPr>
      </w:pPr>
    </w:p>
    <w:p w14:paraId="756D4AAE" w14:textId="77777777" w:rsidR="0044371A" w:rsidRPr="000732D8" w:rsidRDefault="0044371A" w:rsidP="00757921">
      <w:pPr>
        <w:jc w:val="both"/>
        <w:rPr>
          <w:rFonts w:cstheme="minorHAnsi"/>
          <w:b/>
          <w:bCs/>
          <w:lang w:val="en-GB"/>
        </w:rPr>
      </w:pPr>
    </w:p>
    <w:p w14:paraId="7CD6E081" w14:textId="77777777" w:rsidR="0044371A" w:rsidRPr="000732D8" w:rsidRDefault="0044371A" w:rsidP="00757921">
      <w:pPr>
        <w:jc w:val="both"/>
        <w:rPr>
          <w:rFonts w:cstheme="minorHAnsi"/>
          <w:b/>
          <w:bCs/>
          <w:lang w:val="en-GB"/>
        </w:rPr>
      </w:pPr>
    </w:p>
    <w:p w14:paraId="1EDD7C09" w14:textId="40F33968" w:rsidR="00C9329B" w:rsidRPr="000732D8" w:rsidRDefault="00356B47" w:rsidP="00757921">
      <w:pPr>
        <w:keepNext/>
        <w:jc w:val="both"/>
        <w:rPr>
          <w:rFonts w:cstheme="minorHAnsi"/>
          <w:lang w:val="en-GB"/>
        </w:rPr>
      </w:pPr>
      <w:r>
        <w:rPr>
          <w:noProof/>
        </w:rPr>
        <w:drawing>
          <wp:inline distT="0" distB="0" distL="0" distR="0" wp14:anchorId="680C5F25" wp14:editId="0D633041">
            <wp:extent cx="5194300" cy="3009900"/>
            <wp:effectExtent l="0" t="0" r="6350" b="0"/>
            <wp:docPr id="604442683" name="Chart 1">
              <a:extLst xmlns:a="http://schemas.openxmlformats.org/drawingml/2006/main">
                <a:ext uri="{FF2B5EF4-FFF2-40B4-BE49-F238E27FC236}">
                  <a16:creationId xmlns:a16="http://schemas.microsoft.com/office/drawing/2014/main" id="{8BA5D5D9-BC6D-5069-59AF-114CBC824B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1EC1886" w14:textId="66320819" w:rsidR="00C9329B" w:rsidRPr="000732D8" w:rsidRDefault="00C9329B" w:rsidP="00757921">
      <w:pPr>
        <w:pStyle w:val="Caption"/>
        <w:jc w:val="both"/>
        <w:rPr>
          <w:rFonts w:cstheme="minorHAnsi"/>
          <w:lang w:val="en-GB"/>
        </w:rPr>
      </w:pPr>
      <w:r w:rsidRPr="000732D8">
        <w:rPr>
          <w:rFonts w:cstheme="minorHAnsi"/>
          <w:lang w:val="en-GB"/>
        </w:rPr>
        <w:t xml:space="preserve">Figure </w:t>
      </w:r>
      <w:r w:rsidR="00675111" w:rsidRPr="000732D8">
        <w:rPr>
          <w:rFonts w:cstheme="minorHAnsi"/>
          <w:lang w:val="en-GB"/>
        </w:rPr>
        <w:t>4</w:t>
      </w:r>
      <w:r w:rsidRPr="000732D8">
        <w:rPr>
          <w:rFonts w:cstheme="minorHAnsi"/>
          <w:lang w:val="en-GB"/>
        </w:rPr>
        <w:t xml:space="preserve">: TSO net income from FTRs on FI-EE for months when both </w:t>
      </w:r>
      <w:r w:rsidR="00020DD2">
        <w:rPr>
          <w:rFonts w:cstheme="minorHAnsi"/>
          <w:lang w:val="en-GB"/>
        </w:rPr>
        <w:t>ESTLINK</w:t>
      </w:r>
      <w:r w:rsidRPr="000732D8">
        <w:rPr>
          <w:rFonts w:cstheme="minorHAnsi"/>
          <w:lang w:val="en-GB"/>
        </w:rPr>
        <w:t xml:space="preserve"> interconnectors have been in operation.</w:t>
      </w:r>
    </w:p>
    <w:p w14:paraId="146E6D6C" w14:textId="0E66D636" w:rsidR="00554225" w:rsidRPr="000732D8" w:rsidRDefault="7C9A8AD1" w:rsidP="00757921">
      <w:pPr>
        <w:jc w:val="both"/>
        <w:rPr>
          <w:rFonts w:cstheme="minorHAnsi"/>
          <w:lang w:val="en-GB"/>
        </w:rPr>
      </w:pPr>
      <w:r w:rsidRPr="000732D8">
        <w:rPr>
          <w:rFonts w:cstheme="minorHAnsi"/>
          <w:lang w:val="en-GB"/>
        </w:rPr>
        <w:lastRenderedPageBreak/>
        <w:t xml:space="preserve">Table </w:t>
      </w:r>
      <w:r w:rsidR="6484D258" w:rsidRPr="000732D8">
        <w:rPr>
          <w:rFonts w:cstheme="minorHAnsi"/>
          <w:lang w:val="en-GB"/>
        </w:rPr>
        <w:t xml:space="preserve">1 above </w:t>
      </w:r>
      <w:r w:rsidRPr="000732D8">
        <w:rPr>
          <w:rFonts w:cstheme="minorHAnsi"/>
          <w:lang w:val="en-GB"/>
        </w:rPr>
        <w:t xml:space="preserve">presents the net income for TSOs from </w:t>
      </w:r>
      <w:r w:rsidR="1DBDDF3B" w:rsidRPr="000732D8">
        <w:rPr>
          <w:rFonts w:cstheme="minorHAnsi"/>
          <w:lang w:val="en-GB"/>
        </w:rPr>
        <w:t xml:space="preserve">FI-EE </w:t>
      </w:r>
      <w:r w:rsidRPr="000732D8">
        <w:rPr>
          <w:rFonts w:cstheme="minorHAnsi"/>
          <w:lang w:val="en-GB"/>
        </w:rPr>
        <w:t xml:space="preserve">LTTRs, calculated from the total auction income, reduced by the clearing and settlement of the LTTRs.  The </w:t>
      </w:r>
      <w:r w:rsidR="607ADE8D" w:rsidRPr="000732D8">
        <w:rPr>
          <w:rFonts w:cstheme="minorHAnsi"/>
          <w:lang w:val="en-GB"/>
        </w:rPr>
        <w:t>results imply</w:t>
      </w:r>
      <w:r w:rsidRPr="000732D8">
        <w:rPr>
          <w:rFonts w:cstheme="minorHAnsi"/>
          <w:lang w:val="en-GB"/>
        </w:rPr>
        <w:t xml:space="preserve"> underselling. </w:t>
      </w:r>
    </w:p>
    <w:p w14:paraId="22AA6DA0" w14:textId="302F5A04" w:rsidR="00554225" w:rsidRPr="000732D8" w:rsidRDefault="00554225" w:rsidP="00757921">
      <w:pPr>
        <w:jc w:val="both"/>
        <w:rPr>
          <w:rFonts w:cstheme="minorHAnsi"/>
          <w:b/>
          <w:bCs/>
          <w:lang w:val="en-GB"/>
        </w:rPr>
      </w:pPr>
      <w:r w:rsidRPr="000732D8">
        <w:rPr>
          <w:rFonts w:cstheme="minorHAnsi"/>
          <w:lang w:val="en-GB"/>
        </w:rPr>
        <w:t xml:space="preserve">The impact of underselling materializes as a decrease of TSOs’ congestion income as TSOs effectively switch their congestion income from day-ahead market to the LTTR auction income. In case the LTTR auction income is systematically lower than the realized day-ahead price difference, the market participants obtaining the LTTR capacity are systematically </w:t>
      </w:r>
      <w:r w:rsidR="004A12DA" w:rsidRPr="000732D8">
        <w:rPr>
          <w:rFonts w:cstheme="minorHAnsi"/>
          <w:lang w:val="en-GB"/>
        </w:rPr>
        <w:t>benefiting</w:t>
      </w:r>
      <w:r w:rsidRPr="000732D8">
        <w:rPr>
          <w:rFonts w:cstheme="minorHAnsi"/>
          <w:lang w:val="en-GB"/>
        </w:rPr>
        <w:t xml:space="preserve"> at the expense of tariff payers. This is because less money will be available for the primary uses of congestion income including increasing and maintaining cross-zonal capacities, guaranteeing the availability of the allocated </w:t>
      </w:r>
      <w:r w:rsidR="00AB06EC" w:rsidRPr="000732D8">
        <w:rPr>
          <w:rFonts w:cstheme="minorHAnsi"/>
          <w:lang w:val="en-GB"/>
        </w:rPr>
        <w:t>capacities,</w:t>
      </w:r>
      <w:r w:rsidRPr="000732D8">
        <w:rPr>
          <w:rFonts w:cstheme="minorHAnsi"/>
          <w:lang w:val="en-GB"/>
        </w:rPr>
        <w:t xml:space="preserve"> or for lowering grid tariffs.</w:t>
      </w:r>
    </w:p>
    <w:p w14:paraId="3C806EB6" w14:textId="3D1F7EEA" w:rsidR="005E6B86" w:rsidRPr="000732D8" w:rsidRDefault="00756739" w:rsidP="00757921">
      <w:pPr>
        <w:jc w:val="both"/>
        <w:rPr>
          <w:rFonts w:cstheme="minorHAnsi"/>
          <w:lang w:val="en-GB"/>
        </w:rPr>
      </w:pPr>
      <w:r w:rsidRPr="000732D8">
        <w:rPr>
          <w:rFonts w:cstheme="minorHAnsi"/>
          <w:lang w:val="en-GB"/>
        </w:rPr>
        <w:t>To monitor underselling, TSOs use the public data from the auctions on the Single Allocation Platform (SAP) as input for calculating volumes for the LTTRs. Joint Allocation Office (JAO) is appointed as the SAP, according to the methodology developed under Article 48 of the FCA. Historical auction data, including all submitted bids and related prices, is available on JAO’s website.</w:t>
      </w:r>
    </w:p>
    <w:p w14:paraId="26241881" w14:textId="286DA557" w:rsidR="00465E41" w:rsidRPr="000732D8" w:rsidRDefault="00E05343" w:rsidP="00757921">
      <w:pPr>
        <w:jc w:val="both"/>
        <w:rPr>
          <w:rFonts w:cstheme="minorHAnsi"/>
          <w:lang w:val="en-GB"/>
        </w:rPr>
      </w:pPr>
      <w:r w:rsidRPr="000732D8">
        <w:rPr>
          <w:rFonts w:cstheme="minorHAnsi"/>
          <w:lang w:val="en-GB"/>
        </w:rPr>
        <w:t xml:space="preserve">After </w:t>
      </w:r>
      <w:r w:rsidR="008729C5" w:rsidRPr="000732D8">
        <w:rPr>
          <w:rFonts w:cstheme="minorHAnsi"/>
          <w:lang w:val="en-GB"/>
        </w:rPr>
        <w:t xml:space="preserve">analysis </w:t>
      </w:r>
      <w:r w:rsidR="0067624A" w:rsidRPr="000732D8">
        <w:rPr>
          <w:rFonts w:cstheme="minorHAnsi"/>
          <w:lang w:val="en-GB"/>
        </w:rPr>
        <w:t xml:space="preserve">the results </w:t>
      </w:r>
      <w:r w:rsidR="00AB2C6E" w:rsidRPr="000732D8">
        <w:rPr>
          <w:rFonts w:cstheme="minorHAnsi"/>
          <w:lang w:val="en-GB"/>
        </w:rPr>
        <w:t>of the</w:t>
      </w:r>
      <w:r w:rsidR="007A61B8" w:rsidRPr="000732D8">
        <w:rPr>
          <w:rFonts w:cstheme="minorHAnsi"/>
          <w:lang w:val="en-GB"/>
        </w:rPr>
        <w:t xml:space="preserve"> </w:t>
      </w:r>
      <w:r w:rsidRPr="000732D8">
        <w:rPr>
          <w:rFonts w:cstheme="minorHAnsi"/>
          <w:lang w:val="en-GB"/>
        </w:rPr>
        <w:t xml:space="preserve">FI-EE </w:t>
      </w:r>
      <w:r w:rsidR="005E6B86" w:rsidRPr="000732D8">
        <w:rPr>
          <w:rFonts w:cstheme="minorHAnsi"/>
          <w:lang w:val="en-GB"/>
        </w:rPr>
        <w:t xml:space="preserve">FTR </w:t>
      </w:r>
      <w:r w:rsidR="0067624A" w:rsidRPr="000732D8">
        <w:rPr>
          <w:rFonts w:cstheme="minorHAnsi"/>
          <w:lang w:val="en-GB"/>
        </w:rPr>
        <w:t>auctions</w:t>
      </w:r>
      <w:r w:rsidR="0064289A" w:rsidRPr="000732D8">
        <w:rPr>
          <w:rFonts w:cstheme="minorHAnsi"/>
          <w:lang w:val="en-GB"/>
        </w:rPr>
        <w:t xml:space="preserve"> (Figure 5-6)</w:t>
      </w:r>
      <w:r w:rsidR="00040C91" w:rsidRPr="000732D8">
        <w:rPr>
          <w:rFonts w:cstheme="minorHAnsi"/>
          <w:lang w:val="en-GB"/>
        </w:rPr>
        <w:t xml:space="preserve"> in 2024 and 2025</w:t>
      </w:r>
      <w:r w:rsidR="0067624A" w:rsidRPr="000732D8">
        <w:rPr>
          <w:rFonts w:cstheme="minorHAnsi"/>
          <w:lang w:val="en-GB"/>
        </w:rPr>
        <w:t xml:space="preserve">, it </w:t>
      </w:r>
      <w:r w:rsidRPr="000732D8">
        <w:rPr>
          <w:rFonts w:cstheme="minorHAnsi"/>
          <w:lang w:val="en-GB"/>
        </w:rPr>
        <w:t>become</w:t>
      </w:r>
      <w:r w:rsidR="0030095D" w:rsidRPr="000732D8">
        <w:rPr>
          <w:rFonts w:cstheme="minorHAnsi"/>
          <w:lang w:val="en-GB"/>
        </w:rPr>
        <w:t>s</w:t>
      </w:r>
      <w:r w:rsidRPr="000732D8">
        <w:rPr>
          <w:rFonts w:cstheme="minorHAnsi"/>
          <w:lang w:val="en-GB"/>
        </w:rPr>
        <w:t xml:space="preserve"> </w:t>
      </w:r>
      <w:r w:rsidR="0067624A" w:rsidRPr="000732D8">
        <w:rPr>
          <w:rFonts w:cstheme="minorHAnsi"/>
          <w:lang w:val="en-GB"/>
        </w:rPr>
        <w:t xml:space="preserve">evident that auction winners were </w:t>
      </w:r>
      <w:r w:rsidR="00600D94" w:rsidRPr="000732D8">
        <w:rPr>
          <w:rFonts w:cstheme="minorHAnsi"/>
          <w:lang w:val="en-GB"/>
        </w:rPr>
        <w:t>often</w:t>
      </w:r>
      <w:r w:rsidR="0064289A" w:rsidRPr="000732D8">
        <w:rPr>
          <w:rFonts w:cstheme="minorHAnsi"/>
          <w:lang w:val="en-GB"/>
        </w:rPr>
        <w:t xml:space="preserve"> </w:t>
      </w:r>
      <w:r w:rsidR="0067624A" w:rsidRPr="000732D8">
        <w:rPr>
          <w:rFonts w:cstheme="minorHAnsi"/>
          <w:lang w:val="en-GB"/>
        </w:rPr>
        <w:t>from areas other than the Baltic</w:t>
      </w:r>
      <w:r w:rsidR="00A6003D" w:rsidRPr="000732D8">
        <w:rPr>
          <w:rFonts w:cstheme="minorHAnsi"/>
          <w:lang w:val="en-GB"/>
        </w:rPr>
        <w:t xml:space="preserve"> or Finnish</w:t>
      </w:r>
      <w:r w:rsidR="008B68D4" w:rsidRPr="000732D8">
        <w:rPr>
          <w:rFonts w:cstheme="minorHAnsi"/>
          <w:lang w:val="en-GB"/>
        </w:rPr>
        <w:t xml:space="preserve"> markets</w:t>
      </w:r>
      <w:r w:rsidRPr="000732D8">
        <w:rPr>
          <w:rFonts w:cstheme="minorHAnsi"/>
          <w:lang w:val="en-GB"/>
        </w:rPr>
        <w:t xml:space="preserve">. </w:t>
      </w:r>
      <w:r w:rsidR="00CE0407" w:rsidRPr="000732D8">
        <w:rPr>
          <w:rFonts w:cstheme="minorHAnsi"/>
          <w:lang w:val="en-GB"/>
        </w:rPr>
        <w:t xml:space="preserve">This </w:t>
      </w:r>
      <w:r w:rsidR="00961133" w:rsidRPr="000732D8">
        <w:rPr>
          <w:rFonts w:cstheme="minorHAnsi"/>
          <w:lang w:val="en-GB"/>
        </w:rPr>
        <w:t>might imply</w:t>
      </w:r>
      <w:r w:rsidR="00CE0407" w:rsidRPr="000732D8">
        <w:rPr>
          <w:rFonts w:cstheme="minorHAnsi"/>
          <w:lang w:val="en-GB"/>
        </w:rPr>
        <w:t xml:space="preserve"> that the hedging needs of market participants in the Finnish and Baltic markets could </w:t>
      </w:r>
      <w:r w:rsidR="00333242" w:rsidRPr="000732D8">
        <w:rPr>
          <w:rFonts w:cstheme="minorHAnsi"/>
          <w:lang w:val="en-GB"/>
        </w:rPr>
        <w:t xml:space="preserve">potentially be satisfied with lower volumes of LTTRs than what is currently </w:t>
      </w:r>
      <w:r w:rsidR="00961133" w:rsidRPr="000732D8">
        <w:rPr>
          <w:rFonts w:cstheme="minorHAnsi"/>
          <w:lang w:val="en-GB"/>
        </w:rPr>
        <w:t>made available.</w:t>
      </w:r>
      <w:r w:rsidR="000C569E" w:rsidRPr="000732D8">
        <w:rPr>
          <w:rFonts w:cstheme="minorHAnsi"/>
          <w:lang w:val="en-GB"/>
        </w:rPr>
        <w:t xml:space="preserve"> </w:t>
      </w:r>
    </w:p>
    <w:p w14:paraId="5DE1FE38" w14:textId="4F1F0DB6" w:rsidR="00F76E4A" w:rsidRPr="00F76E4A" w:rsidRDefault="00F76E4A" w:rsidP="00763C45">
      <w:pPr>
        <w:jc w:val="both"/>
        <w:rPr>
          <w:lang w:val="en-GB"/>
        </w:rPr>
      </w:pPr>
      <w:r>
        <w:rPr>
          <w:noProof/>
        </w:rPr>
        <w:drawing>
          <wp:inline distT="0" distB="0" distL="0" distR="0" wp14:anchorId="58FC83BC" wp14:editId="59D8264C">
            <wp:extent cx="5274310" cy="2981960"/>
            <wp:effectExtent l="0" t="0" r="2540" b="8890"/>
            <wp:docPr id="329618772" name="Chart 1">
              <a:extLst xmlns:a="http://schemas.openxmlformats.org/drawingml/2006/main">
                <a:ext uri="{FF2B5EF4-FFF2-40B4-BE49-F238E27FC236}">
                  <a16:creationId xmlns:a16="http://schemas.microsoft.com/office/drawing/2014/main" id="{967D0231-0CA0-5CB3-18FD-1954CBDBEC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7EF070F" w14:textId="4EF088A7" w:rsidR="0021129A" w:rsidRPr="000732D8" w:rsidRDefault="0021129A" w:rsidP="00757921">
      <w:pPr>
        <w:pStyle w:val="Caption"/>
        <w:jc w:val="both"/>
        <w:rPr>
          <w:rFonts w:cstheme="minorHAnsi"/>
          <w:lang w:val="en-GB"/>
        </w:rPr>
      </w:pPr>
      <w:r w:rsidRPr="000732D8">
        <w:rPr>
          <w:rFonts w:cstheme="minorHAnsi"/>
          <w:lang w:val="en-GB"/>
        </w:rPr>
        <w:t>Figure 5: T</w:t>
      </w:r>
      <w:r w:rsidR="00707DAA" w:rsidRPr="000732D8">
        <w:rPr>
          <w:rFonts w:cstheme="minorHAnsi"/>
          <w:lang w:val="en-GB"/>
        </w:rPr>
        <w:t>rading of FTRs in EUR on the FI–EE bidding zone border by country in 202</w:t>
      </w:r>
      <w:r w:rsidR="00CA02F9">
        <w:rPr>
          <w:rFonts w:cstheme="minorHAnsi"/>
          <w:lang w:val="en-GB"/>
        </w:rPr>
        <w:t>4</w:t>
      </w:r>
      <w:r w:rsidR="00707DAA" w:rsidRPr="000732D8">
        <w:rPr>
          <w:rFonts w:cstheme="minorHAnsi"/>
          <w:lang w:val="en-GB"/>
        </w:rPr>
        <w:t xml:space="preserve"> (Source: JAO).</w:t>
      </w:r>
    </w:p>
    <w:p w14:paraId="68E8598B" w14:textId="77777777" w:rsidR="0021129A" w:rsidRPr="000732D8" w:rsidRDefault="0021129A" w:rsidP="00C36049">
      <w:pPr>
        <w:jc w:val="both"/>
        <w:rPr>
          <w:rFonts w:cstheme="minorHAnsi"/>
          <w:b/>
          <w:bCs/>
          <w:lang w:val="en-GB"/>
        </w:rPr>
      </w:pPr>
    </w:p>
    <w:p w14:paraId="564B5988" w14:textId="6050A251" w:rsidR="0021129A" w:rsidRPr="000732D8" w:rsidRDefault="00040C91" w:rsidP="00757921">
      <w:pPr>
        <w:pStyle w:val="Caption"/>
        <w:jc w:val="both"/>
        <w:rPr>
          <w:rFonts w:cstheme="minorHAnsi"/>
          <w:lang w:val="en-GB"/>
        </w:rPr>
      </w:pPr>
      <w:r w:rsidRPr="000732D8">
        <w:rPr>
          <w:rFonts w:cstheme="minorHAnsi"/>
          <w:noProof/>
          <w:lang w:val="en-GB"/>
        </w:rPr>
        <w:lastRenderedPageBreak/>
        <w:drawing>
          <wp:inline distT="0" distB="0" distL="0" distR="0" wp14:anchorId="106FDD56" wp14:editId="25C343CE">
            <wp:extent cx="5274310" cy="2974340"/>
            <wp:effectExtent l="0" t="0" r="2540" b="16510"/>
            <wp:docPr id="204858896" name="Chart 1">
              <a:extLst xmlns:a="http://schemas.openxmlformats.org/drawingml/2006/main">
                <a:ext uri="{FF2B5EF4-FFF2-40B4-BE49-F238E27FC236}">
                  <a16:creationId xmlns:a16="http://schemas.microsoft.com/office/drawing/2014/main" id="{967D0231-0CA0-5CB3-18FD-1954CBDBEC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47FF8B8" w14:textId="6F34E630" w:rsidR="006D0CF6" w:rsidRPr="000732D8" w:rsidRDefault="006D0CF6" w:rsidP="00757921">
      <w:pPr>
        <w:pStyle w:val="Caption"/>
        <w:jc w:val="both"/>
        <w:rPr>
          <w:rFonts w:cstheme="minorHAnsi"/>
          <w:lang w:val="en-GB"/>
        </w:rPr>
      </w:pPr>
      <w:r w:rsidRPr="000732D8">
        <w:rPr>
          <w:rFonts w:cstheme="minorHAnsi"/>
          <w:lang w:val="en-GB"/>
        </w:rPr>
        <w:t xml:space="preserve">Figure </w:t>
      </w:r>
      <w:r w:rsidR="0021129A" w:rsidRPr="000732D8">
        <w:rPr>
          <w:rFonts w:cstheme="minorHAnsi"/>
          <w:lang w:val="en-GB"/>
        </w:rPr>
        <w:t>6</w:t>
      </w:r>
      <w:r w:rsidRPr="000732D8">
        <w:rPr>
          <w:rFonts w:cstheme="minorHAnsi"/>
          <w:lang w:val="en-GB"/>
        </w:rPr>
        <w:t xml:space="preserve">: </w:t>
      </w:r>
      <w:r w:rsidR="00141662" w:rsidRPr="000732D8">
        <w:rPr>
          <w:rFonts w:cstheme="minorHAnsi"/>
          <w:lang w:val="en-GB"/>
        </w:rPr>
        <w:t>T</w:t>
      </w:r>
      <w:r w:rsidR="00707DAA" w:rsidRPr="000732D8">
        <w:rPr>
          <w:rFonts w:cstheme="minorHAnsi"/>
          <w:lang w:val="en-GB"/>
        </w:rPr>
        <w:t>rading of FTRs in EUR on the FI–EE bidding zone border by country in 2025 (Source: JAO).</w:t>
      </w:r>
    </w:p>
    <w:p w14:paraId="3CEA3595" w14:textId="77777777" w:rsidR="005C14D0" w:rsidRPr="000732D8" w:rsidRDefault="005C14D0" w:rsidP="00C36049">
      <w:pPr>
        <w:jc w:val="both"/>
        <w:rPr>
          <w:rFonts w:cstheme="minorHAnsi"/>
          <w:lang w:val="en-GB"/>
        </w:rPr>
      </w:pPr>
    </w:p>
    <w:p w14:paraId="47EDA668" w14:textId="7D4B760F" w:rsidR="00E035D3" w:rsidRPr="000732D8" w:rsidRDefault="00E035D3" w:rsidP="00C36049">
      <w:pPr>
        <w:pStyle w:val="Heading2"/>
        <w:jc w:val="both"/>
        <w:rPr>
          <w:rFonts w:asciiTheme="minorHAnsi" w:hAnsiTheme="minorHAnsi" w:cstheme="minorHAnsi"/>
          <w:lang w:val="en-GB"/>
        </w:rPr>
      </w:pPr>
      <w:r w:rsidRPr="000732D8">
        <w:rPr>
          <w:rFonts w:asciiTheme="minorHAnsi" w:hAnsiTheme="minorHAnsi" w:cstheme="minorHAnsi"/>
          <w:lang w:val="en-GB"/>
        </w:rPr>
        <w:t xml:space="preserve">5. Transmission system </w:t>
      </w:r>
      <w:r w:rsidR="005C14D0" w:rsidRPr="000732D8">
        <w:rPr>
          <w:rFonts w:asciiTheme="minorHAnsi" w:hAnsiTheme="minorHAnsi" w:cstheme="minorHAnsi"/>
          <w:lang w:val="en-GB"/>
        </w:rPr>
        <w:t>operator’s</w:t>
      </w:r>
      <w:r w:rsidRPr="000732D8">
        <w:rPr>
          <w:rFonts w:asciiTheme="minorHAnsi" w:hAnsiTheme="minorHAnsi" w:cstheme="minorHAnsi"/>
          <w:lang w:val="en-GB"/>
        </w:rPr>
        <w:t xml:space="preserve"> </w:t>
      </w:r>
      <w:r w:rsidR="00295924" w:rsidRPr="000732D8">
        <w:rPr>
          <w:rFonts w:asciiTheme="minorHAnsi" w:hAnsiTheme="minorHAnsi" w:cstheme="minorHAnsi"/>
          <w:lang w:val="en-GB"/>
        </w:rPr>
        <w:t xml:space="preserve">increased </w:t>
      </w:r>
      <w:r w:rsidRPr="000732D8">
        <w:rPr>
          <w:rFonts w:asciiTheme="minorHAnsi" w:hAnsiTheme="minorHAnsi" w:cstheme="minorHAnsi"/>
          <w:lang w:val="en-GB"/>
        </w:rPr>
        <w:t>financial risk</w:t>
      </w:r>
    </w:p>
    <w:p w14:paraId="75E67CBF" w14:textId="77777777" w:rsidR="005C14D0" w:rsidRPr="000732D8" w:rsidRDefault="005C14D0" w:rsidP="00C36049">
      <w:pPr>
        <w:jc w:val="both"/>
        <w:rPr>
          <w:rFonts w:cstheme="minorHAnsi"/>
          <w:lang w:val="en-GB"/>
        </w:rPr>
      </w:pPr>
    </w:p>
    <w:p w14:paraId="7D953E66" w14:textId="77777777" w:rsidR="00530439" w:rsidRPr="000732D8" w:rsidRDefault="002012EE" w:rsidP="00C36049">
      <w:pPr>
        <w:jc w:val="both"/>
        <w:rPr>
          <w:rFonts w:cstheme="minorHAnsi"/>
          <w:lang w:val="en-GB"/>
        </w:rPr>
      </w:pPr>
      <w:r w:rsidRPr="000732D8">
        <w:rPr>
          <w:rFonts w:cstheme="minorHAnsi"/>
          <w:lang w:val="en-GB"/>
        </w:rPr>
        <w:t xml:space="preserve">According to Article 35 of the FCA Regulation, the relevant TSOs allocating transmission rights must remunerate LTTRs holders in case the price difference is positive in the direction of the long-term transmission rights. In order to fulfil this remuneration obligation, TSOs rely on the congestion income. </w:t>
      </w:r>
      <w:r w:rsidR="00317EA3" w:rsidRPr="000732D8">
        <w:rPr>
          <w:rFonts w:cstheme="minorHAnsi"/>
          <w:lang w:val="en-GB"/>
        </w:rPr>
        <w:t xml:space="preserve">The FCA Regulation lays down rules on the firmness of allocated cross-zonal capacity in the forward markets.  </w:t>
      </w:r>
    </w:p>
    <w:p w14:paraId="59563472" w14:textId="77777777" w:rsidR="00530439" w:rsidRPr="000732D8" w:rsidRDefault="00317EA3" w:rsidP="00C36049">
      <w:pPr>
        <w:pStyle w:val="ListParagraph"/>
        <w:numPr>
          <w:ilvl w:val="0"/>
          <w:numId w:val="9"/>
        </w:numPr>
        <w:jc w:val="both"/>
        <w:rPr>
          <w:rFonts w:cstheme="minorHAnsi"/>
          <w:lang w:val="en-GB"/>
        </w:rPr>
      </w:pPr>
      <w:r w:rsidRPr="000732D8">
        <w:rPr>
          <w:rFonts w:cstheme="minorHAnsi"/>
          <w:lang w:val="en-GB"/>
        </w:rPr>
        <w:t xml:space="preserve">Article 53 of the FCA Regulation states under paragraph (1) that ‘All TSOs shall be entitled to curtail long-term transmission rights to ensure operation remains within operational security limits prior to the day-ahead firmness deadline. …’ Paragraph (2) of the same article further clarifies that ‘The concerned TSOs on the bidding zone border where long-term transmission rights have been curtailed shall compensate the holders of curtailed long-term transmission rights with the market spread.’ </w:t>
      </w:r>
    </w:p>
    <w:p w14:paraId="2194E548" w14:textId="77777777" w:rsidR="00530439" w:rsidRPr="000732D8" w:rsidRDefault="00317EA3" w:rsidP="00C36049">
      <w:pPr>
        <w:pStyle w:val="ListParagraph"/>
        <w:numPr>
          <w:ilvl w:val="0"/>
          <w:numId w:val="9"/>
        </w:numPr>
        <w:jc w:val="both"/>
        <w:rPr>
          <w:rFonts w:cstheme="minorHAnsi"/>
          <w:lang w:val="en-GB"/>
        </w:rPr>
      </w:pPr>
      <w:r w:rsidRPr="000732D8">
        <w:rPr>
          <w:rFonts w:cstheme="minorHAnsi"/>
          <w:lang w:val="en-GB"/>
        </w:rPr>
        <w:t xml:space="preserve">Article 56 of the FCA Regulation states under paragraph (1) that ‘In the event of force majeure, TSOs may curtail long-term transmission rights. …’ Paragraph (3) of that article specifies that ‘In the event of curtailment due to force majeure the concerned holders of long-term transmission rights shall receive compensation for the period of that force majeure by the TSO which invoked the force majeure. In this case, the compensation shall be equal to the amount initially paid for the concerned long-term transmission right during the forward allocation process.’ Paragraph 4 of the same article states that ‘The TSO which invokes a force majeure shall make every possible effort to limit the consequences and duration of the force majeure.’ </w:t>
      </w:r>
    </w:p>
    <w:p w14:paraId="186E44A2" w14:textId="585DCD2C" w:rsidR="002012EE" w:rsidRPr="000732D8" w:rsidRDefault="00317EA3" w:rsidP="00C36049">
      <w:pPr>
        <w:pStyle w:val="ListParagraph"/>
        <w:numPr>
          <w:ilvl w:val="0"/>
          <w:numId w:val="9"/>
        </w:numPr>
        <w:jc w:val="both"/>
        <w:rPr>
          <w:rFonts w:cstheme="minorHAnsi"/>
          <w:lang w:val="en-GB"/>
        </w:rPr>
      </w:pPr>
      <w:r w:rsidRPr="000732D8">
        <w:rPr>
          <w:rFonts w:cstheme="minorHAnsi"/>
          <w:lang w:val="en-GB"/>
        </w:rPr>
        <w:t xml:space="preserve">Article 54 of the FCA Regulation addresses the possible definitions of caps for the compensation of curtailed LTTRs. More specifically, paragraph (1) of that article states that ‘The concerned TSOs on a bidding zone border may propose a cap on the total compensation to be paid to all holders of curtailed long-term transmission rights in the relevant calendar year or the relevant calendar month in case of Direct Current </w:t>
      </w:r>
      <w:r w:rsidRPr="000732D8">
        <w:rPr>
          <w:rFonts w:cstheme="minorHAnsi"/>
          <w:lang w:val="en-GB"/>
        </w:rPr>
        <w:lastRenderedPageBreak/>
        <w:t>interconnectors.’ Paragraph (2) of the same article states that ‘The cap shall not be lower than the total amount of congestion income collected by the concerned TSOs on the bidding zone border in the relevant calendar year. In case of Direct Current interconnectors, TSOs may propose a cap not lower than the total congestion income collected by the concerned TSOs on the bidding zone border in the relevant calendar month.’</w:t>
      </w:r>
    </w:p>
    <w:p w14:paraId="00C87387" w14:textId="77777777" w:rsidR="004617C7" w:rsidRPr="000732D8" w:rsidRDefault="004617C7" w:rsidP="00C36049">
      <w:pPr>
        <w:ind w:left="360"/>
        <w:jc w:val="both"/>
        <w:rPr>
          <w:rFonts w:cstheme="minorHAnsi"/>
          <w:lang w:val="en-GB"/>
        </w:rPr>
      </w:pPr>
      <w:r w:rsidRPr="000732D8">
        <w:rPr>
          <w:rFonts w:cstheme="minorHAnsi"/>
          <w:lang w:val="en-GB"/>
        </w:rPr>
        <w:t>The Estonian and Finnish NRAs have approved a CAP for EE–FI FTRs in the “Baltic Capacity Calculation Region’s Regional Specific Annex to the Harmonised Allocation Rules for Long-Term Transmission Rights in accordance with Article 52 of Commission Regulation (EU) 2016/1719 of 26 September 2016 establishing a Guideline on Forward Capacity Allocation.” With this decision, the TSOs’ financial risk of paying remuneration in the event of a loss (or reduction below allocated FTR capacities) of day-ahead transmission capacity between Finland and Estonia — and the resulting loss of congestion income — is limited to the monthly collected congestion income.</w:t>
      </w:r>
    </w:p>
    <w:p w14:paraId="4440EFA7" w14:textId="77777777" w:rsidR="005523F3" w:rsidRPr="000732D8" w:rsidRDefault="005523F3" w:rsidP="00C36049">
      <w:pPr>
        <w:jc w:val="both"/>
        <w:rPr>
          <w:rFonts w:cstheme="minorHAnsi"/>
          <w:lang w:val="en-GB"/>
        </w:rPr>
      </w:pPr>
      <w:r w:rsidRPr="000732D8">
        <w:rPr>
          <w:rFonts w:cstheme="minorHAnsi"/>
          <w:lang w:val="en-GB"/>
        </w:rPr>
        <w:t>However, there has been a significant increase in regulatory risk that the TSOs’ financial exposure may no longer be limited to congestion income. On 11 April 2025, ACER issued its legally non-binding public opinion, stating that:</w:t>
      </w:r>
    </w:p>
    <w:p w14:paraId="445F4164" w14:textId="2D6125A4" w:rsidR="001C5C42" w:rsidRPr="000732D8" w:rsidRDefault="003F71A7" w:rsidP="00C36049">
      <w:pPr>
        <w:pStyle w:val="ListParagraph"/>
        <w:numPr>
          <w:ilvl w:val="0"/>
          <w:numId w:val="11"/>
        </w:numPr>
        <w:jc w:val="both"/>
        <w:rPr>
          <w:rFonts w:cstheme="minorHAnsi"/>
          <w:i/>
          <w:iCs/>
          <w:lang w:val="en-GB"/>
        </w:rPr>
      </w:pPr>
      <w:r w:rsidRPr="000732D8">
        <w:rPr>
          <w:rFonts w:cstheme="minorHAnsi"/>
          <w:i/>
          <w:iCs/>
          <w:lang w:val="en-GB"/>
        </w:rPr>
        <w:t xml:space="preserve">TSOs may curtail long-term transmission rights pursuant to Article 53(1) of Regulation (EU) 2016/1719, only if the allocated long-term transmission rights would endanger that operation of the transmission grid remains within operational security limits prior to the day-ahead firmness deadline. Since financial transmission rights on the FI-EE bidding zone border cannot have an impact on operational security, they should not be curtailed pursuant to Article 53(1) of Regulation (EU) 2016/1719. </w:t>
      </w:r>
    </w:p>
    <w:p w14:paraId="17A60FDD" w14:textId="77777777" w:rsidR="001C5C42" w:rsidRPr="000732D8" w:rsidRDefault="003F71A7" w:rsidP="00C36049">
      <w:pPr>
        <w:pStyle w:val="ListParagraph"/>
        <w:numPr>
          <w:ilvl w:val="0"/>
          <w:numId w:val="11"/>
        </w:numPr>
        <w:jc w:val="both"/>
        <w:rPr>
          <w:rFonts w:cstheme="minorHAnsi"/>
          <w:i/>
          <w:iCs/>
          <w:lang w:val="en-GB"/>
        </w:rPr>
      </w:pPr>
      <w:r w:rsidRPr="000732D8">
        <w:rPr>
          <w:rFonts w:cstheme="minorHAnsi"/>
          <w:i/>
          <w:iCs/>
          <w:lang w:val="en-GB"/>
        </w:rPr>
        <w:t xml:space="preserve">TSOs should not invoke force majeure unless all conditions specified in the definition of force majeure pursuant to Article 2(2)(u) of the harmonised allocation rules pursuant to Article 51 of Regulation (EU) 2016/1719 are met. </w:t>
      </w:r>
    </w:p>
    <w:p w14:paraId="26282F49" w14:textId="618D0651" w:rsidR="005C14D0" w:rsidRPr="000732D8" w:rsidRDefault="003F71A7" w:rsidP="00C36049">
      <w:pPr>
        <w:pStyle w:val="ListParagraph"/>
        <w:numPr>
          <w:ilvl w:val="0"/>
          <w:numId w:val="11"/>
        </w:numPr>
        <w:jc w:val="both"/>
        <w:rPr>
          <w:rFonts w:cstheme="minorHAnsi"/>
          <w:i/>
          <w:iCs/>
          <w:lang w:val="en-GB"/>
        </w:rPr>
      </w:pPr>
      <w:r w:rsidRPr="000732D8">
        <w:rPr>
          <w:rFonts w:cstheme="minorHAnsi"/>
          <w:i/>
          <w:iCs/>
          <w:lang w:val="en-GB"/>
        </w:rPr>
        <w:t xml:space="preserve">The cap on the total compensation to be paid to all holders of curtailed long-term transmission rights applies only to the compensation for curtailments to ensure that operation remains within operational security limits before the day ahead firmness deadline in accordance with Article 59 of the harmonised allocation rules pursuant to Article 51 of Regulation (EU) 2016/1719. This cap does not apply to curtailments due to force majeure before the day ahead firmness deadline in accordance with Article 60 of the harmonised allocation rules pursuant to Article 51 of Regulation (EU) 2016/1719. Since financial transmission rights on the FI-EE bidding zone border should not be curtailed for operational security reasons in accordance with Article 53(1) of Regulation (EU) 2016/1719, a cap should not be applicable for that bidding zone border.  </w:t>
      </w:r>
    </w:p>
    <w:p w14:paraId="3195CEC9" w14:textId="1EA320CF" w:rsidR="009E5EEC" w:rsidRPr="000732D8" w:rsidRDefault="009E5EEC" w:rsidP="00C36049">
      <w:pPr>
        <w:jc w:val="both"/>
        <w:rPr>
          <w:rFonts w:cstheme="minorHAnsi"/>
          <w:lang w:val="en-GB"/>
        </w:rPr>
      </w:pPr>
      <w:r w:rsidRPr="000732D8">
        <w:rPr>
          <w:rFonts w:cstheme="minorHAnsi"/>
          <w:lang w:val="en-GB"/>
        </w:rPr>
        <w:t xml:space="preserve">In October 2025, ENTSO-E published a </w:t>
      </w:r>
      <w:r w:rsidRPr="00786EBD">
        <w:rPr>
          <w:rFonts w:cstheme="minorHAnsi"/>
          <w:lang w:val="en-GB"/>
        </w:rPr>
        <w:t>common TSO position paper</w:t>
      </w:r>
      <w:r w:rsidR="00897ED9">
        <w:rPr>
          <w:rStyle w:val="FootnoteReference"/>
        </w:rPr>
        <w:footnoteReference w:id="3"/>
      </w:r>
      <w:r w:rsidRPr="000732D8">
        <w:rPr>
          <w:rFonts w:cstheme="minorHAnsi"/>
          <w:lang w:val="en-GB"/>
        </w:rPr>
        <w:t xml:space="preserve"> in which </w:t>
      </w:r>
      <w:r w:rsidR="00AC072D">
        <w:rPr>
          <w:rFonts w:cstheme="minorHAnsi"/>
          <w:lang w:val="en-GB"/>
        </w:rPr>
        <w:t xml:space="preserve">all </w:t>
      </w:r>
      <w:r w:rsidRPr="000732D8">
        <w:rPr>
          <w:rFonts w:cstheme="minorHAnsi"/>
          <w:lang w:val="en-GB"/>
        </w:rPr>
        <w:t xml:space="preserve">TSOs expressed their disagreement with ACER’s Opinion 02/2025 regarding the curtailment of financial transmission rights and ACER’s interpretation of the overall regulatory framework applicable to LTTRs. If ACER’s Opinion were to be applied as written, interconnectors could </w:t>
      </w:r>
      <w:r w:rsidRPr="000732D8">
        <w:rPr>
          <w:rFonts w:cstheme="minorHAnsi"/>
          <w:lang w:val="en-GB"/>
        </w:rPr>
        <w:lastRenderedPageBreak/>
        <w:t xml:space="preserve">face unlimited liabilities, significantly increasing TSOs’ financial risk exposure — especially considering recent developments in the risk environment related to energy infrastructure (such as the </w:t>
      </w:r>
      <w:r w:rsidR="00020DD2">
        <w:rPr>
          <w:rFonts w:cstheme="minorHAnsi"/>
          <w:lang w:val="en-GB"/>
        </w:rPr>
        <w:t>ESTLINK</w:t>
      </w:r>
      <w:r w:rsidRPr="000732D8">
        <w:rPr>
          <w:rFonts w:cstheme="minorHAnsi"/>
          <w:lang w:val="en-GB"/>
        </w:rPr>
        <w:t xml:space="preserve"> 2 incident).</w:t>
      </w:r>
    </w:p>
    <w:p w14:paraId="5B31D673" w14:textId="77777777" w:rsidR="009E5EEC" w:rsidRPr="000732D8" w:rsidRDefault="009E5EEC" w:rsidP="00C36049">
      <w:pPr>
        <w:jc w:val="both"/>
        <w:rPr>
          <w:rFonts w:cstheme="minorHAnsi"/>
          <w:lang w:val="en-GB"/>
        </w:rPr>
      </w:pPr>
      <w:r w:rsidRPr="000732D8">
        <w:rPr>
          <w:rFonts w:cstheme="minorHAnsi"/>
          <w:lang w:val="en-GB"/>
        </w:rPr>
        <w:t>On 24 November 2025, the Estonian NRA issued an injunction to Elering, officially prohibiting the curtailment of FTRs on the Estonian–Latvian bidding zone border, using the same reasoning as presented in ACER’s opinion.</w:t>
      </w:r>
    </w:p>
    <w:p w14:paraId="4FE84F33" w14:textId="77777777" w:rsidR="009E5EEC" w:rsidRPr="000732D8" w:rsidRDefault="009E5EEC" w:rsidP="00C36049">
      <w:pPr>
        <w:jc w:val="both"/>
        <w:rPr>
          <w:rFonts w:cstheme="minorHAnsi"/>
          <w:lang w:val="en-GB"/>
        </w:rPr>
      </w:pPr>
      <w:r w:rsidRPr="000732D8">
        <w:rPr>
          <w:rFonts w:cstheme="minorHAnsi"/>
          <w:lang w:val="en-GB"/>
        </w:rPr>
        <w:t>Although Elering will challenge this injunction in court, until a court decision is reached, there remains a regulatory risk that the TSO’s financial exposure when offering FTRs would not be limited by congestion income.</w:t>
      </w:r>
      <w:r w:rsidR="00343646" w:rsidRPr="000732D8">
        <w:rPr>
          <w:rFonts w:cstheme="minorHAnsi"/>
          <w:lang w:val="en-GB"/>
        </w:rPr>
        <w:t xml:space="preserve"> </w:t>
      </w:r>
      <w:r w:rsidRPr="000732D8">
        <w:rPr>
          <w:rFonts w:cstheme="minorHAnsi"/>
          <w:lang w:val="en-GB"/>
        </w:rPr>
        <w:t>The inability to curtail FTRs could lead to excessive compensation obligations that may constrain the core tasks of TSOs, including the effective operation and expansion of the transmission system. This could also affect various stakeholders, including grid tariff payers. Moreover, increased financial risk for TSOs may negatively affect their credit rating, making grid expansion more expensive.</w:t>
      </w:r>
    </w:p>
    <w:p w14:paraId="525DB5A9" w14:textId="3C01031A" w:rsidR="009656FB" w:rsidRPr="000732D8" w:rsidRDefault="009656FB" w:rsidP="00C36049">
      <w:pPr>
        <w:jc w:val="both"/>
        <w:rPr>
          <w:rFonts w:cstheme="minorHAnsi"/>
          <w:lang w:val="en-GB"/>
        </w:rPr>
      </w:pPr>
      <w:r w:rsidRPr="000732D8">
        <w:rPr>
          <w:rFonts w:cstheme="minorHAnsi"/>
          <w:lang w:val="en-GB"/>
        </w:rPr>
        <w:t xml:space="preserve">If Elering and Fingrid are not allowed to curtail FTRs, the price difference between Finland and Estonia, up to the volume of the sold FTRs, would have to be borne by Elering and Fingrid. The financial risk for Elering arising from </w:t>
      </w:r>
      <w:r w:rsidR="00020DD2">
        <w:rPr>
          <w:rFonts w:cstheme="minorHAnsi"/>
          <w:lang w:val="en-GB"/>
        </w:rPr>
        <w:t>ESTLINK</w:t>
      </w:r>
      <w:r w:rsidRPr="000732D8">
        <w:rPr>
          <w:rFonts w:cstheme="minorHAnsi"/>
          <w:lang w:val="en-GB"/>
        </w:rPr>
        <w:t xml:space="preserve"> outages with currently allocated FTR</w:t>
      </w:r>
      <w:r w:rsidR="00A522FD" w:rsidRPr="000732D8">
        <w:rPr>
          <w:rFonts w:cstheme="minorHAnsi"/>
          <w:lang w:val="en-GB"/>
        </w:rPr>
        <w:t xml:space="preserve"> capacity </w:t>
      </w:r>
      <w:r w:rsidR="009C238F" w:rsidRPr="000732D8">
        <w:rPr>
          <w:rFonts w:cstheme="minorHAnsi"/>
          <w:lang w:val="en-GB"/>
        </w:rPr>
        <w:t>limits</w:t>
      </w:r>
      <w:r w:rsidR="00A522FD" w:rsidRPr="000732D8">
        <w:rPr>
          <w:rFonts w:cstheme="minorHAnsi"/>
          <w:lang w:val="en-GB"/>
        </w:rPr>
        <w:t xml:space="preserve"> </w:t>
      </w:r>
      <w:r w:rsidRPr="000732D8">
        <w:rPr>
          <w:rFonts w:cstheme="minorHAnsi"/>
          <w:lang w:val="en-GB"/>
        </w:rPr>
        <w:t>is as follows:</w:t>
      </w:r>
    </w:p>
    <w:p w14:paraId="700EED42" w14:textId="4370F56D" w:rsidR="009656FB" w:rsidRPr="000732D8" w:rsidRDefault="009656FB" w:rsidP="00C36049">
      <w:pPr>
        <w:numPr>
          <w:ilvl w:val="0"/>
          <w:numId w:val="12"/>
        </w:numPr>
        <w:jc w:val="both"/>
        <w:rPr>
          <w:rFonts w:cstheme="minorHAnsi"/>
          <w:lang w:val="en-GB"/>
        </w:rPr>
      </w:pPr>
      <w:r w:rsidRPr="000732D8">
        <w:rPr>
          <w:rFonts w:cstheme="minorHAnsi"/>
          <w:b/>
          <w:bCs/>
          <w:lang w:val="en-GB"/>
        </w:rPr>
        <w:t xml:space="preserve">In the event of an </w:t>
      </w:r>
      <w:r w:rsidR="00020DD2">
        <w:rPr>
          <w:rFonts w:cstheme="minorHAnsi"/>
          <w:b/>
          <w:bCs/>
          <w:lang w:val="en-GB"/>
        </w:rPr>
        <w:t>ESTLINK</w:t>
      </w:r>
      <w:r w:rsidRPr="000732D8">
        <w:rPr>
          <w:rFonts w:cstheme="minorHAnsi"/>
          <w:b/>
          <w:bCs/>
          <w:lang w:val="en-GB"/>
        </w:rPr>
        <w:t xml:space="preserve"> 1 outage</w:t>
      </w:r>
      <w:r w:rsidRPr="000732D8">
        <w:rPr>
          <w:rFonts w:cstheme="minorHAnsi"/>
          <w:lang w:val="en-GB"/>
        </w:rPr>
        <w:t xml:space="preserve">, the financial risk related to FTRs does not materialise, as approximately 650 MW of FTRs are sold in total, which can be covered with the capacity of </w:t>
      </w:r>
      <w:r w:rsidR="00020DD2">
        <w:rPr>
          <w:rFonts w:cstheme="minorHAnsi"/>
          <w:lang w:val="en-GB"/>
        </w:rPr>
        <w:t>ESTLINK</w:t>
      </w:r>
      <w:r w:rsidRPr="000732D8">
        <w:rPr>
          <w:rFonts w:cstheme="minorHAnsi"/>
          <w:lang w:val="en-GB"/>
        </w:rPr>
        <w:t xml:space="preserve"> 2.</w:t>
      </w:r>
    </w:p>
    <w:p w14:paraId="07B0E727" w14:textId="790AA833" w:rsidR="009656FB" w:rsidRPr="000732D8" w:rsidRDefault="009656FB" w:rsidP="00C36049">
      <w:pPr>
        <w:numPr>
          <w:ilvl w:val="0"/>
          <w:numId w:val="12"/>
        </w:numPr>
        <w:jc w:val="both"/>
        <w:rPr>
          <w:rFonts w:cstheme="minorHAnsi"/>
          <w:lang w:val="en-GB"/>
        </w:rPr>
      </w:pPr>
      <w:r w:rsidRPr="000732D8">
        <w:rPr>
          <w:rFonts w:cstheme="minorHAnsi"/>
          <w:b/>
          <w:bCs/>
          <w:lang w:val="en-GB"/>
        </w:rPr>
        <w:t xml:space="preserve">In the event of an </w:t>
      </w:r>
      <w:r w:rsidR="00020DD2">
        <w:rPr>
          <w:rFonts w:cstheme="minorHAnsi"/>
          <w:b/>
          <w:bCs/>
          <w:lang w:val="en-GB"/>
        </w:rPr>
        <w:t>ESTLINK</w:t>
      </w:r>
      <w:r w:rsidRPr="000732D8">
        <w:rPr>
          <w:rFonts w:cstheme="minorHAnsi"/>
          <w:b/>
          <w:bCs/>
          <w:lang w:val="en-GB"/>
        </w:rPr>
        <w:t xml:space="preserve"> 2 outage</w:t>
      </w:r>
      <w:r w:rsidRPr="000732D8">
        <w:rPr>
          <w:rFonts w:cstheme="minorHAnsi"/>
          <w:lang w:val="en-GB"/>
        </w:rPr>
        <w:t xml:space="preserve">, the financial risk related to the monthly FTR product materialises, as the volume of the annual FTR can be covered with the capacity of </w:t>
      </w:r>
      <w:r w:rsidR="00020DD2">
        <w:rPr>
          <w:rFonts w:cstheme="minorHAnsi"/>
          <w:lang w:val="en-GB"/>
        </w:rPr>
        <w:t>ESTLINK</w:t>
      </w:r>
      <w:r w:rsidRPr="000732D8">
        <w:rPr>
          <w:rFonts w:cstheme="minorHAnsi"/>
          <w:lang w:val="en-GB"/>
        </w:rPr>
        <w:t xml:space="preserve"> 1. The size of the financial risk is shown in Figure </w:t>
      </w:r>
      <w:r w:rsidR="00A522FD" w:rsidRPr="000732D8">
        <w:rPr>
          <w:rFonts w:cstheme="minorHAnsi"/>
          <w:lang w:val="en-GB"/>
        </w:rPr>
        <w:t>7</w:t>
      </w:r>
      <w:r w:rsidRPr="000732D8">
        <w:rPr>
          <w:rFonts w:cstheme="minorHAnsi"/>
          <w:lang w:val="en-GB"/>
        </w:rPr>
        <w:t xml:space="preserve"> and depends on the price difference between Estonia and Finland. In recent </w:t>
      </w:r>
      <w:r w:rsidR="00020DD2">
        <w:rPr>
          <w:rFonts w:cstheme="minorHAnsi"/>
          <w:lang w:val="en-GB"/>
        </w:rPr>
        <w:t>ESTLINK</w:t>
      </w:r>
      <w:r w:rsidRPr="000732D8">
        <w:rPr>
          <w:rFonts w:cstheme="minorHAnsi"/>
          <w:lang w:val="en-GB"/>
        </w:rPr>
        <w:t xml:space="preserve"> 2 failures, the price difference has been around 50 €/MWh, resulting in an estimated financial risk of approximately €5 million for </w:t>
      </w:r>
      <w:r w:rsidR="00691074" w:rsidRPr="000732D8">
        <w:rPr>
          <w:rFonts w:cstheme="minorHAnsi"/>
          <w:lang w:val="en-GB"/>
        </w:rPr>
        <w:t>TSO</w:t>
      </w:r>
      <w:r w:rsidRPr="000732D8">
        <w:rPr>
          <w:rFonts w:cstheme="minorHAnsi"/>
          <w:lang w:val="en-GB"/>
        </w:rPr>
        <w:t>.</w:t>
      </w:r>
    </w:p>
    <w:p w14:paraId="1641D2F0" w14:textId="3EDB52E6" w:rsidR="00334776" w:rsidRPr="000732D8" w:rsidRDefault="00334776" w:rsidP="00C36049">
      <w:pPr>
        <w:ind w:left="720"/>
        <w:jc w:val="both"/>
        <w:rPr>
          <w:rFonts w:cstheme="minorHAnsi"/>
          <w:lang w:val="en-GB"/>
        </w:rPr>
      </w:pPr>
      <w:r w:rsidRPr="000732D8">
        <w:rPr>
          <w:rFonts w:cstheme="minorHAnsi"/>
          <w:noProof/>
          <w:lang w:val="en-GB"/>
        </w:rPr>
        <w:drawing>
          <wp:inline distT="0" distB="0" distL="0" distR="0" wp14:anchorId="7F082A4D" wp14:editId="378C4555">
            <wp:extent cx="4705350" cy="2101850"/>
            <wp:effectExtent l="0" t="0" r="0" b="12700"/>
            <wp:docPr id="1611083692" name="Chart 1">
              <a:extLst xmlns:a="http://schemas.openxmlformats.org/drawingml/2006/main">
                <a:ext uri="{FF2B5EF4-FFF2-40B4-BE49-F238E27FC236}">
                  <a16:creationId xmlns:a16="http://schemas.microsoft.com/office/drawing/2014/main" id="{45D575C9-C3E6-1706-BB96-0314C8A3D4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B2573CB" w14:textId="07743D45" w:rsidR="005157D0" w:rsidRPr="000732D8" w:rsidRDefault="005157D0" w:rsidP="0058287A">
      <w:pPr>
        <w:pStyle w:val="Caption"/>
        <w:ind w:firstLine="720"/>
        <w:jc w:val="both"/>
        <w:rPr>
          <w:rFonts w:cstheme="minorHAnsi"/>
          <w:lang w:val="en-GB"/>
        </w:rPr>
      </w:pPr>
      <w:r w:rsidRPr="000732D8">
        <w:rPr>
          <w:rFonts w:cstheme="minorHAnsi"/>
          <w:lang w:val="en-GB"/>
        </w:rPr>
        <w:t xml:space="preserve">Figure 7: </w:t>
      </w:r>
      <w:r w:rsidR="00A149A0" w:rsidRPr="000732D8">
        <w:rPr>
          <w:rFonts w:cstheme="minorHAnsi"/>
          <w:lang w:val="en-GB"/>
        </w:rPr>
        <w:t xml:space="preserve">TSOs </w:t>
      </w:r>
      <w:r w:rsidR="00455697" w:rsidRPr="000732D8">
        <w:rPr>
          <w:rFonts w:cstheme="minorHAnsi"/>
          <w:lang w:val="en-GB"/>
        </w:rPr>
        <w:t>cost</w:t>
      </w:r>
      <w:r w:rsidR="00694BD0" w:rsidRPr="000732D8">
        <w:rPr>
          <w:rFonts w:cstheme="minorHAnsi"/>
          <w:lang w:val="en-GB"/>
        </w:rPr>
        <w:t xml:space="preserve"> in case of </w:t>
      </w:r>
      <w:r w:rsidR="00020DD2">
        <w:rPr>
          <w:rFonts w:cstheme="minorHAnsi"/>
          <w:lang w:val="en-GB"/>
        </w:rPr>
        <w:t>ESTLINK</w:t>
      </w:r>
      <w:r w:rsidR="00694BD0" w:rsidRPr="000732D8">
        <w:rPr>
          <w:rFonts w:cstheme="minorHAnsi"/>
          <w:lang w:val="en-GB"/>
        </w:rPr>
        <w:t xml:space="preserve"> 1 or </w:t>
      </w:r>
      <w:r w:rsidR="00020DD2">
        <w:rPr>
          <w:rFonts w:cstheme="minorHAnsi"/>
          <w:lang w:val="en-GB"/>
        </w:rPr>
        <w:t>ESTLINK</w:t>
      </w:r>
      <w:r w:rsidR="004B7F89">
        <w:rPr>
          <w:rFonts w:cstheme="minorHAnsi"/>
          <w:lang w:val="en-GB"/>
        </w:rPr>
        <w:t xml:space="preserve"> </w:t>
      </w:r>
      <w:r w:rsidR="00694BD0" w:rsidRPr="000732D8">
        <w:rPr>
          <w:rFonts w:cstheme="minorHAnsi"/>
          <w:lang w:val="en-GB"/>
        </w:rPr>
        <w:t>1</w:t>
      </w:r>
      <w:r w:rsidR="00691074" w:rsidRPr="000732D8">
        <w:rPr>
          <w:rFonts w:cstheme="minorHAnsi"/>
          <w:lang w:val="en-GB"/>
        </w:rPr>
        <w:t xml:space="preserve"> and</w:t>
      </w:r>
      <w:r w:rsidR="00694BD0" w:rsidRPr="000732D8">
        <w:rPr>
          <w:rFonts w:cstheme="minorHAnsi"/>
          <w:lang w:val="en-GB"/>
        </w:rPr>
        <w:t xml:space="preserve"> E</w:t>
      </w:r>
      <w:r w:rsidR="00020DD2">
        <w:rPr>
          <w:rFonts w:cstheme="minorHAnsi"/>
          <w:lang w:val="en-GB"/>
        </w:rPr>
        <w:t>STLINK</w:t>
      </w:r>
      <w:r w:rsidR="00E66B2D">
        <w:rPr>
          <w:rFonts w:cstheme="minorHAnsi"/>
          <w:lang w:val="en-GB"/>
        </w:rPr>
        <w:t xml:space="preserve"> </w:t>
      </w:r>
      <w:r w:rsidR="00694BD0" w:rsidRPr="000732D8">
        <w:rPr>
          <w:rFonts w:cstheme="minorHAnsi"/>
          <w:lang w:val="en-GB"/>
        </w:rPr>
        <w:t>2 outage</w:t>
      </w:r>
    </w:p>
    <w:p w14:paraId="28A0857B" w14:textId="0819F4E5" w:rsidR="009656FB" w:rsidRPr="000732D8" w:rsidRDefault="009656FB" w:rsidP="0058287A">
      <w:pPr>
        <w:numPr>
          <w:ilvl w:val="0"/>
          <w:numId w:val="12"/>
        </w:numPr>
        <w:jc w:val="both"/>
        <w:rPr>
          <w:rFonts w:cstheme="minorHAnsi"/>
          <w:lang w:val="en-GB"/>
        </w:rPr>
      </w:pPr>
      <w:r w:rsidRPr="000732D8">
        <w:rPr>
          <w:rFonts w:cstheme="minorHAnsi"/>
          <w:b/>
          <w:bCs/>
          <w:lang w:val="en-GB"/>
        </w:rPr>
        <w:t xml:space="preserve">In the event of a simultaneous </w:t>
      </w:r>
      <w:r w:rsidR="00020DD2">
        <w:rPr>
          <w:rFonts w:cstheme="minorHAnsi"/>
          <w:b/>
          <w:bCs/>
          <w:lang w:val="en-GB"/>
        </w:rPr>
        <w:t>ESTLINK</w:t>
      </w:r>
      <w:r w:rsidRPr="000732D8">
        <w:rPr>
          <w:rFonts w:cstheme="minorHAnsi"/>
          <w:b/>
          <w:bCs/>
          <w:lang w:val="en-GB"/>
        </w:rPr>
        <w:t xml:space="preserve"> 1 and </w:t>
      </w:r>
      <w:r w:rsidR="00020DD2">
        <w:rPr>
          <w:rFonts w:cstheme="minorHAnsi"/>
          <w:b/>
          <w:bCs/>
          <w:lang w:val="en-GB"/>
        </w:rPr>
        <w:t>ESTLINK</w:t>
      </w:r>
      <w:r w:rsidRPr="000732D8">
        <w:rPr>
          <w:rFonts w:cstheme="minorHAnsi"/>
          <w:b/>
          <w:bCs/>
          <w:lang w:val="en-GB"/>
        </w:rPr>
        <w:t xml:space="preserve"> 2 outage</w:t>
      </w:r>
      <w:r w:rsidRPr="000732D8">
        <w:rPr>
          <w:rFonts w:cstheme="minorHAnsi"/>
          <w:lang w:val="en-GB"/>
        </w:rPr>
        <w:t xml:space="preserve">, the financial risk related to both the monthly and annual FTR products materialises. The risk for the monthly product is similar to the previous point, but higher due to the larger Finland–Estonia price difference when both </w:t>
      </w:r>
      <w:r w:rsidR="00020DD2">
        <w:rPr>
          <w:rFonts w:cstheme="minorHAnsi"/>
          <w:lang w:val="en-GB"/>
        </w:rPr>
        <w:t>ESTLINK</w:t>
      </w:r>
      <w:r w:rsidRPr="000732D8">
        <w:rPr>
          <w:rFonts w:cstheme="minorHAnsi"/>
          <w:lang w:val="en-GB"/>
        </w:rPr>
        <w:t xml:space="preserve">s are out of service. The annual product risk is significantly higher because it lasts longer — until the end of the annual product </w:t>
      </w:r>
      <w:r w:rsidRPr="000732D8">
        <w:rPr>
          <w:rFonts w:cstheme="minorHAnsi"/>
          <w:lang w:val="en-GB"/>
        </w:rPr>
        <w:lastRenderedPageBreak/>
        <w:t xml:space="preserve">or until one of the </w:t>
      </w:r>
      <w:r w:rsidR="00020DD2">
        <w:rPr>
          <w:rFonts w:cstheme="minorHAnsi"/>
          <w:lang w:val="en-GB"/>
        </w:rPr>
        <w:t>ESTLINK</w:t>
      </w:r>
      <w:r w:rsidRPr="000732D8">
        <w:rPr>
          <w:rFonts w:cstheme="minorHAnsi"/>
          <w:lang w:val="en-GB"/>
        </w:rPr>
        <w:t xml:space="preserve">s is repaired. The size of the financial risk is shown in Figure </w:t>
      </w:r>
      <w:r w:rsidR="00790BA2" w:rsidRPr="000732D8">
        <w:rPr>
          <w:rFonts w:cstheme="minorHAnsi"/>
          <w:lang w:val="en-GB"/>
        </w:rPr>
        <w:t>7</w:t>
      </w:r>
      <w:r w:rsidRPr="000732D8">
        <w:rPr>
          <w:rFonts w:cstheme="minorHAnsi"/>
          <w:lang w:val="en-GB"/>
        </w:rPr>
        <w:t xml:space="preserve"> and depends on the price difference between Estonia and Finland. Assuming, for example, a 7-month repair period (based on past experience) and a 100 €/MWh price difference between Estonia and Finland (based on the modelled January–June 2025 price difference), </w:t>
      </w:r>
      <w:r w:rsidR="00102FD6" w:rsidRPr="000732D8">
        <w:rPr>
          <w:rFonts w:cstheme="minorHAnsi"/>
          <w:lang w:val="en-GB"/>
        </w:rPr>
        <w:t>c</w:t>
      </w:r>
      <w:r w:rsidRPr="000732D8">
        <w:rPr>
          <w:rFonts w:cstheme="minorHAnsi"/>
          <w:lang w:val="en-GB"/>
        </w:rPr>
        <w:t xml:space="preserve">ost </w:t>
      </w:r>
      <w:r w:rsidR="00102FD6" w:rsidRPr="000732D8">
        <w:rPr>
          <w:rFonts w:cstheme="minorHAnsi"/>
          <w:lang w:val="en-GB"/>
        </w:rPr>
        <w:t xml:space="preserve">per TSO </w:t>
      </w:r>
      <w:r w:rsidRPr="000732D8">
        <w:rPr>
          <w:rFonts w:cstheme="minorHAnsi"/>
          <w:lang w:val="en-GB"/>
        </w:rPr>
        <w:t>would be approximately €100 million.</w:t>
      </w:r>
    </w:p>
    <w:p w14:paraId="3ADE3168" w14:textId="7B30D9EF" w:rsidR="004F0934" w:rsidRPr="000732D8" w:rsidRDefault="004F0934" w:rsidP="0058287A">
      <w:pPr>
        <w:jc w:val="both"/>
        <w:rPr>
          <w:rFonts w:cstheme="minorHAnsi"/>
          <w:lang w:val="en-GB"/>
        </w:rPr>
      </w:pPr>
      <w:r w:rsidRPr="000732D8">
        <w:rPr>
          <w:rFonts w:cstheme="minorHAnsi"/>
          <w:lang w:val="en-GB"/>
        </w:rPr>
        <w:t xml:space="preserve">A simultaneous outage of both </w:t>
      </w:r>
      <w:r w:rsidR="00020DD2">
        <w:rPr>
          <w:rFonts w:cstheme="minorHAnsi"/>
          <w:lang w:val="en-GB"/>
        </w:rPr>
        <w:t>ESTLINK</w:t>
      </w:r>
      <w:r w:rsidRPr="000732D8">
        <w:rPr>
          <w:rFonts w:cstheme="minorHAnsi"/>
          <w:lang w:val="en-GB"/>
        </w:rPr>
        <w:t xml:space="preserve">s is unlikely, but considering the geopolitical situation and recent incidents, it is by no means impossible. Considering the positions of ACER and the </w:t>
      </w:r>
      <w:r w:rsidR="00B34E28" w:rsidRPr="000732D8">
        <w:rPr>
          <w:rFonts w:cstheme="minorHAnsi"/>
          <w:lang w:val="en-GB"/>
        </w:rPr>
        <w:t xml:space="preserve">Estonian </w:t>
      </w:r>
      <w:r w:rsidRPr="000732D8">
        <w:rPr>
          <w:rFonts w:cstheme="minorHAnsi"/>
          <w:lang w:val="en-GB"/>
        </w:rPr>
        <w:t xml:space="preserve">Competition Authority, the Finland–Estonia FTR must be viewed as a financial risk for </w:t>
      </w:r>
      <w:r w:rsidR="001E0794" w:rsidRPr="000732D8">
        <w:rPr>
          <w:rFonts w:cstheme="minorHAnsi"/>
          <w:lang w:val="en-GB"/>
        </w:rPr>
        <w:t>TSOs</w:t>
      </w:r>
      <w:r w:rsidRPr="000732D8">
        <w:rPr>
          <w:rFonts w:cstheme="minorHAnsi"/>
          <w:lang w:val="en-GB"/>
        </w:rPr>
        <w:t>. Since the funds used to compensate the FTR come from congestion income, the risk is primarily related to:</w:t>
      </w:r>
    </w:p>
    <w:p w14:paraId="791A2E3B" w14:textId="77777777" w:rsidR="004F0934" w:rsidRPr="000732D8" w:rsidRDefault="004F0934" w:rsidP="0058287A">
      <w:pPr>
        <w:numPr>
          <w:ilvl w:val="0"/>
          <w:numId w:val="14"/>
        </w:numPr>
        <w:jc w:val="both"/>
        <w:rPr>
          <w:rFonts w:cstheme="minorHAnsi"/>
          <w:lang w:val="en-GB"/>
        </w:rPr>
      </w:pPr>
      <w:r w:rsidRPr="000732D8">
        <w:rPr>
          <w:rFonts w:cstheme="minorHAnsi"/>
          <w:lang w:val="en-GB"/>
        </w:rPr>
        <w:t>the sufficiency of congestion income, and</w:t>
      </w:r>
    </w:p>
    <w:p w14:paraId="7C6C8A43" w14:textId="5EF1D5CD" w:rsidR="004F0934" w:rsidRPr="000732D8" w:rsidRDefault="004F0934" w:rsidP="0058287A">
      <w:pPr>
        <w:numPr>
          <w:ilvl w:val="0"/>
          <w:numId w:val="14"/>
        </w:numPr>
        <w:jc w:val="both"/>
        <w:rPr>
          <w:rFonts w:cstheme="minorHAnsi"/>
          <w:lang w:val="en-GB"/>
        </w:rPr>
      </w:pPr>
      <w:r w:rsidRPr="000732D8">
        <w:rPr>
          <w:rFonts w:cstheme="minorHAnsi"/>
          <w:lang w:val="en-GB"/>
        </w:rPr>
        <w:t xml:space="preserve">the potential lack of liquidity for </w:t>
      </w:r>
      <w:r w:rsidR="001E0794" w:rsidRPr="000732D8">
        <w:rPr>
          <w:rFonts w:cstheme="minorHAnsi"/>
          <w:lang w:val="en-GB"/>
        </w:rPr>
        <w:t>TSO</w:t>
      </w:r>
      <w:r w:rsidRPr="000732D8">
        <w:rPr>
          <w:rFonts w:cstheme="minorHAnsi"/>
          <w:lang w:val="en-GB"/>
        </w:rPr>
        <w:t>.</w:t>
      </w:r>
    </w:p>
    <w:p w14:paraId="6B011DDB" w14:textId="38DA0188" w:rsidR="004F0934" w:rsidRPr="000732D8" w:rsidRDefault="004F0934" w:rsidP="0058287A">
      <w:pPr>
        <w:jc w:val="both"/>
        <w:rPr>
          <w:rFonts w:cstheme="minorHAnsi"/>
          <w:lang w:val="en-GB"/>
        </w:rPr>
      </w:pPr>
      <w:r w:rsidRPr="000732D8">
        <w:rPr>
          <w:rFonts w:cstheme="minorHAnsi"/>
          <w:lang w:val="en-GB"/>
        </w:rPr>
        <w:t xml:space="preserve">Congestion income accumulated in previous years may already have been used or committed </w:t>
      </w:r>
      <w:r w:rsidR="009A520F" w:rsidRPr="000732D8">
        <w:rPr>
          <w:rStyle w:val="FootnoteReference"/>
          <w:rFonts w:cstheme="minorHAnsi"/>
          <w:lang w:val="en-GB"/>
        </w:rPr>
        <w:footnoteReference w:id="4"/>
      </w:r>
      <w:r w:rsidRPr="000732D8">
        <w:rPr>
          <w:rFonts w:cstheme="minorHAnsi"/>
          <w:lang w:val="en-GB"/>
        </w:rPr>
        <w:t>at the moment the risk materialises. Therefore, when assessing the sufficiency of congestion income, it is reasonable to consider only the congestion income that would be additionally generated during the specific year. Based on previous years, an annual congestion income potential of €100 million can be considered reasonable</w:t>
      </w:r>
      <w:r w:rsidR="00575508" w:rsidRPr="000732D8">
        <w:rPr>
          <w:rFonts w:cstheme="minorHAnsi"/>
          <w:lang w:val="en-GB"/>
        </w:rPr>
        <w:t xml:space="preserve"> on FI-EE border</w:t>
      </w:r>
      <w:r w:rsidR="00756D20" w:rsidRPr="000732D8">
        <w:rPr>
          <w:rFonts w:cstheme="minorHAnsi"/>
          <w:lang w:val="en-GB"/>
        </w:rPr>
        <w:t>.</w:t>
      </w:r>
    </w:p>
    <w:p w14:paraId="24E33B98" w14:textId="339803AC" w:rsidR="004F0934" w:rsidRPr="000732D8" w:rsidRDefault="004F0934" w:rsidP="00757921">
      <w:pPr>
        <w:jc w:val="both"/>
        <w:rPr>
          <w:rFonts w:cstheme="minorHAnsi"/>
          <w:lang w:val="en-GB"/>
        </w:rPr>
      </w:pPr>
      <w:r w:rsidRPr="000732D8">
        <w:rPr>
          <w:rFonts w:cstheme="minorHAnsi"/>
          <w:lang w:val="en-GB"/>
        </w:rPr>
        <w:t xml:space="preserve">If the risk materialises, there would be a 7-month period during which FTRs must be compensated, meaning that the Finland–Estonia price difference would have to be covered from congestion income. This leaves a 5-month period for the collection of congestion income which could be used for FTR compensation. This corresponds to an estimated potential income of €42 million. Consequently, when selling FTRs, the volume must be limited so that the compensation costs do not exceed €42 million. As an example, assuming an average price difference of 100 €/MWh between Estonia and Finland during a simultaneous outage of both </w:t>
      </w:r>
      <w:r w:rsidR="00020DD2">
        <w:rPr>
          <w:rFonts w:cstheme="minorHAnsi"/>
          <w:lang w:val="en-GB"/>
        </w:rPr>
        <w:t>ESTLINK</w:t>
      </w:r>
      <w:r w:rsidRPr="000732D8">
        <w:rPr>
          <w:rFonts w:cstheme="minorHAnsi"/>
          <w:lang w:val="en-GB"/>
        </w:rPr>
        <w:t xml:space="preserve">s, the allowable sales volume would be 150 MW of annual products and </w:t>
      </w:r>
      <w:r w:rsidR="00FB2B05" w:rsidRPr="000732D8">
        <w:rPr>
          <w:rFonts w:cstheme="minorHAnsi"/>
          <w:lang w:val="en-GB"/>
        </w:rPr>
        <w:t>150</w:t>
      </w:r>
      <w:r w:rsidRPr="000732D8">
        <w:rPr>
          <w:rFonts w:cstheme="minorHAnsi"/>
          <w:lang w:val="en-GB"/>
        </w:rPr>
        <w:t xml:space="preserve"> MW of monthly products.</w:t>
      </w:r>
    </w:p>
    <w:p w14:paraId="0286B173" w14:textId="19EF7F88" w:rsidR="00916420" w:rsidRPr="000732D8" w:rsidRDefault="00916420" w:rsidP="00757921">
      <w:pPr>
        <w:jc w:val="both"/>
        <w:rPr>
          <w:rFonts w:cstheme="minorHAnsi"/>
          <w:lang w:val="en-GB"/>
        </w:rPr>
      </w:pPr>
      <w:r w:rsidRPr="000732D8">
        <w:rPr>
          <w:rFonts w:cstheme="minorHAnsi"/>
          <w:lang w:val="en-GB"/>
        </w:rPr>
        <w:t xml:space="preserve">Based on the above considerations, the TSOs propose setting the FTR volumes at </w:t>
      </w:r>
      <w:r w:rsidR="00C20492">
        <w:rPr>
          <w:rFonts w:cstheme="minorHAnsi"/>
          <w:lang w:val="en-GB"/>
        </w:rPr>
        <w:t>200</w:t>
      </w:r>
      <w:r w:rsidRPr="000732D8">
        <w:rPr>
          <w:rFonts w:cstheme="minorHAnsi"/>
          <w:lang w:val="en-GB"/>
        </w:rPr>
        <w:t xml:space="preserve"> MW for the annual product and </w:t>
      </w:r>
      <w:r w:rsidR="006E28EB">
        <w:rPr>
          <w:rFonts w:cstheme="minorHAnsi"/>
          <w:lang w:val="en-GB"/>
        </w:rPr>
        <w:t xml:space="preserve">the maximum of </w:t>
      </w:r>
      <w:r w:rsidR="00C20492">
        <w:rPr>
          <w:rFonts w:cstheme="minorHAnsi"/>
          <w:lang w:val="en-GB"/>
        </w:rPr>
        <w:t>15</w:t>
      </w:r>
      <w:r w:rsidRPr="000732D8">
        <w:rPr>
          <w:rFonts w:cstheme="minorHAnsi"/>
          <w:lang w:val="en-GB"/>
        </w:rPr>
        <w:t>0 MW for the monthly product</w:t>
      </w:r>
      <w:r w:rsidR="00C20492">
        <w:rPr>
          <w:rStyle w:val="FootnoteReference"/>
          <w:rFonts w:cstheme="minorHAnsi"/>
          <w:lang w:val="en-GB"/>
        </w:rPr>
        <w:footnoteReference w:id="5"/>
      </w:r>
      <w:r w:rsidRPr="000732D8">
        <w:rPr>
          <w:rFonts w:cstheme="minorHAnsi"/>
          <w:lang w:val="en-GB"/>
        </w:rPr>
        <w:t xml:space="preserve">. The inability to curtail FTRs could lead to excessive compensation obligations, limiting TSOs’ core tasks, affecting grid tariff payers, and potentially worsening TSOs’ credit ratings, thereby increasing the cost of grid development. Setting the FTR volumes at these levels ensures that even in the event of a simultaneous outage of both </w:t>
      </w:r>
      <w:r w:rsidR="00020DD2">
        <w:rPr>
          <w:rFonts w:cstheme="minorHAnsi"/>
          <w:lang w:val="en-GB"/>
        </w:rPr>
        <w:t>ESTLINK</w:t>
      </w:r>
      <w:r w:rsidRPr="000732D8">
        <w:rPr>
          <w:rFonts w:cstheme="minorHAnsi"/>
          <w:lang w:val="en-GB"/>
        </w:rPr>
        <w:t>s, the compensation obligations remain within the expected annual congestion income, safeguarding TSO financial stability and ensuring compliance with Regulation (EU) 2019/943.</w:t>
      </w:r>
    </w:p>
    <w:p w14:paraId="304EA45B" w14:textId="396B31C8" w:rsidR="00564309" w:rsidRPr="006D1567" w:rsidRDefault="00564309" w:rsidP="00291F2E">
      <w:pPr>
        <w:autoSpaceDE w:val="0"/>
        <w:autoSpaceDN w:val="0"/>
        <w:adjustRightInd w:val="0"/>
        <w:spacing w:after="0" w:line="240" w:lineRule="auto"/>
        <w:jc w:val="both"/>
        <w:rPr>
          <w:rFonts w:cstheme="minorHAnsi"/>
          <w:lang w:val="en-GB"/>
        </w:rPr>
      </w:pPr>
      <w:r w:rsidRPr="006D1567">
        <w:rPr>
          <w:rFonts w:cstheme="minorHAnsi"/>
          <w:lang w:val="en-GB"/>
        </w:rPr>
        <w:lastRenderedPageBreak/>
        <w:t>The following splitting shares of long-term cross-zonal capacity for FI-EE border shall be applied when allocating yearly and mont</w:t>
      </w:r>
      <w:r w:rsidR="006D1567">
        <w:rPr>
          <w:rFonts w:cstheme="minorHAnsi"/>
          <w:lang w:val="en-GB"/>
        </w:rPr>
        <w:t>h</w:t>
      </w:r>
      <w:r w:rsidRPr="006D1567">
        <w:rPr>
          <w:rFonts w:cstheme="minorHAnsi"/>
          <w:lang w:val="en-GB"/>
        </w:rPr>
        <w:t>ly shares of LTTRs capacity (in MW)</w:t>
      </w:r>
      <w:r w:rsidR="00821A54">
        <w:rPr>
          <w:rStyle w:val="FootnoteReference"/>
          <w:rFonts w:cstheme="minorHAnsi"/>
          <w:lang w:val="en-GB"/>
        </w:rPr>
        <w:footnoteReference w:id="6"/>
      </w:r>
      <w:r w:rsidRPr="006D1567">
        <w:rPr>
          <w:rFonts w:cstheme="minorHAnsi"/>
          <w:lang w:val="en-GB"/>
        </w:rPr>
        <w:t>:</w:t>
      </w:r>
    </w:p>
    <w:p w14:paraId="5403F7CC" w14:textId="77777777" w:rsidR="00564309" w:rsidRPr="006D1567" w:rsidRDefault="00564309" w:rsidP="006D1567">
      <w:pPr>
        <w:autoSpaceDE w:val="0"/>
        <w:autoSpaceDN w:val="0"/>
        <w:adjustRightInd w:val="0"/>
        <w:spacing w:after="0" w:line="240" w:lineRule="auto"/>
        <w:jc w:val="both"/>
        <w:rPr>
          <w:rFonts w:cstheme="minorHAnsi"/>
          <w:lang w:val="en-GB"/>
        </w:rPr>
      </w:pPr>
    </w:p>
    <w:p w14:paraId="3746248D" w14:textId="0FE14A87" w:rsidR="00564309" w:rsidRPr="005D39BE" w:rsidRDefault="00564309" w:rsidP="006D1567">
      <w:pPr>
        <w:autoSpaceDE w:val="0"/>
        <w:autoSpaceDN w:val="0"/>
        <w:adjustRightInd w:val="0"/>
        <w:spacing w:after="0" w:line="240" w:lineRule="auto"/>
        <w:rPr>
          <w:rFonts w:cstheme="minorHAnsi"/>
          <w:b/>
          <w:bCs/>
          <w:lang w:val="sv-SE"/>
        </w:rPr>
      </w:pPr>
      <w:r w:rsidRPr="005D39BE">
        <w:rPr>
          <w:rFonts w:cstheme="minorHAnsi"/>
          <w:b/>
          <w:bCs/>
          <w:lang w:val="sv-SE"/>
        </w:rPr>
        <w:t>LTTR</w:t>
      </w:r>
      <w:r w:rsidRPr="005D39BE">
        <w:rPr>
          <w:rFonts w:cstheme="minorHAnsi"/>
          <w:b/>
          <w:bCs/>
          <w:vertAlign w:val="subscript"/>
          <w:lang w:val="sv-SE"/>
        </w:rPr>
        <w:t>Y(n)</w:t>
      </w:r>
      <w:r w:rsidRPr="005D39BE">
        <w:rPr>
          <w:rFonts w:cstheme="minorHAnsi"/>
          <w:b/>
          <w:bCs/>
          <w:lang w:val="sv-SE"/>
        </w:rPr>
        <w:t xml:space="preserve"> = min (minLTCZC</w:t>
      </w:r>
      <w:r w:rsidRPr="005D39BE">
        <w:rPr>
          <w:rFonts w:cstheme="minorHAnsi"/>
          <w:b/>
          <w:bCs/>
          <w:vertAlign w:val="subscript"/>
          <w:lang w:val="sv-SE"/>
        </w:rPr>
        <w:t>Y(n)</w:t>
      </w:r>
      <w:r w:rsidRPr="005D39BE">
        <w:rPr>
          <w:rFonts w:cstheme="minorHAnsi"/>
          <w:b/>
          <w:bCs/>
          <w:lang w:val="sv-SE"/>
        </w:rPr>
        <w:t xml:space="preserve">; </w:t>
      </w:r>
      <w:r w:rsidR="00821A54">
        <w:rPr>
          <w:rFonts w:cstheme="minorHAnsi"/>
          <w:b/>
          <w:bCs/>
          <w:lang w:val="sv-SE"/>
        </w:rPr>
        <w:t>200</w:t>
      </w:r>
      <w:r w:rsidRPr="005D39BE">
        <w:rPr>
          <w:rFonts w:cstheme="minorHAnsi"/>
          <w:b/>
          <w:bCs/>
          <w:lang w:val="sv-SE"/>
        </w:rPr>
        <w:t>)</w:t>
      </w:r>
    </w:p>
    <w:p w14:paraId="18F50E17" w14:textId="77777777" w:rsidR="00564309" w:rsidRPr="005D39BE" w:rsidRDefault="00564309" w:rsidP="006D1567">
      <w:pPr>
        <w:autoSpaceDE w:val="0"/>
        <w:autoSpaceDN w:val="0"/>
        <w:adjustRightInd w:val="0"/>
        <w:spacing w:after="0" w:line="240" w:lineRule="auto"/>
        <w:rPr>
          <w:rFonts w:cstheme="minorHAnsi"/>
          <w:b/>
          <w:bCs/>
          <w:lang w:val="sv-SE"/>
        </w:rPr>
      </w:pPr>
    </w:p>
    <w:p w14:paraId="0C2A4C2B" w14:textId="4AC88666" w:rsidR="00564309" w:rsidRPr="005D39BE" w:rsidRDefault="00564309" w:rsidP="006D1567">
      <w:pPr>
        <w:autoSpaceDE w:val="0"/>
        <w:autoSpaceDN w:val="0"/>
        <w:adjustRightInd w:val="0"/>
        <w:spacing w:after="0" w:line="240" w:lineRule="auto"/>
        <w:rPr>
          <w:rFonts w:cstheme="minorHAnsi"/>
          <w:b/>
          <w:bCs/>
          <w:lang w:val="sv-SE"/>
        </w:rPr>
      </w:pPr>
      <w:r w:rsidRPr="005D39BE">
        <w:rPr>
          <w:rFonts w:cstheme="minorHAnsi"/>
          <w:b/>
          <w:bCs/>
          <w:lang w:val="sv-SE"/>
        </w:rPr>
        <w:t>LTTR</w:t>
      </w:r>
      <w:r w:rsidRPr="005D39BE">
        <w:rPr>
          <w:rFonts w:cstheme="minorHAnsi"/>
          <w:b/>
          <w:bCs/>
          <w:vertAlign w:val="subscript"/>
          <w:lang w:val="sv-SE"/>
        </w:rPr>
        <w:t xml:space="preserve">M(n) </w:t>
      </w:r>
      <w:r w:rsidRPr="005D39BE">
        <w:rPr>
          <w:rFonts w:cstheme="minorHAnsi"/>
          <w:b/>
          <w:bCs/>
          <w:lang w:val="sv-SE"/>
        </w:rPr>
        <w:t>= min (minLTCZC</w:t>
      </w:r>
      <w:r w:rsidRPr="005D39BE">
        <w:rPr>
          <w:rFonts w:cstheme="minorHAnsi"/>
          <w:b/>
          <w:bCs/>
          <w:vertAlign w:val="subscript"/>
          <w:lang w:val="sv-SE"/>
        </w:rPr>
        <w:t>M(n)</w:t>
      </w:r>
      <w:r w:rsidRPr="005D39BE">
        <w:rPr>
          <w:rFonts w:cstheme="minorHAnsi"/>
          <w:b/>
          <w:bCs/>
          <w:lang w:val="sv-SE"/>
        </w:rPr>
        <w:t>– LTTR</w:t>
      </w:r>
      <w:r w:rsidRPr="005D39BE">
        <w:rPr>
          <w:rFonts w:cstheme="minorHAnsi"/>
          <w:b/>
          <w:bCs/>
          <w:vertAlign w:val="subscript"/>
          <w:lang w:val="sv-SE"/>
        </w:rPr>
        <w:t>Y(n)</w:t>
      </w:r>
      <w:r w:rsidRPr="005D39BE">
        <w:rPr>
          <w:rFonts w:cstheme="minorHAnsi"/>
          <w:b/>
          <w:bCs/>
          <w:lang w:val="sv-SE"/>
        </w:rPr>
        <w:t xml:space="preserve">; </w:t>
      </w:r>
      <w:r w:rsidR="00821A54">
        <w:rPr>
          <w:rFonts w:cstheme="minorHAnsi"/>
          <w:b/>
          <w:bCs/>
          <w:lang w:val="sv-SE"/>
        </w:rPr>
        <w:t>150</w:t>
      </w:r>
      <w:r w:rsidRPr="005D39BE">
        <w:rPr>
          <w:rFonts w:cstheme="minorHAnsi"/>
          <w:b/>
          <w:bCs/>
          <w:lang w:val="sv-SE"/>
        </w:rPr>
        <w:t>)</w:t>
      </w:r>
    </w:p>
    <w:p w14:paraId="4DB8CFDB" w14:textId="77777777" w:rsidR="00564309" w:rsidRPr="006D1567" w:rsidRDefault="00564309" w:rsidP="006D1567">
      <w:pPr>
        <w:autoSpaceDE w:val="0"/>
        <w:autoSpaceDN w:val="0"/>
        <w:adjustRightInd w:val="0"/>
        <w:spacing w:after="0" w:line="240" w:lineRule="auto"/>
        <w:rPr>
          <w:rFonts w:cstheme="minorHAnsi"/>
          <w:vertAlign w:val="subscript"/>
          <w:lang w:val="sv-SE"/>
        </w:rPr>
      </w:pPr>
    </w:p>
    <w:p w14:paraId="460AF447" w14:textId="77777777" w:rsidR="00564309" w:rsidRPr="006D1567" w:rsidRDefault="00564309" w:rsidP="006D1567">
      <w:pPr>
        <w:autoSpaceDE w:val="0"/>
        <w:autoSpaceDN w:val="0"/>
        <w:adjustRightInd w:val="0"/>
        <w:spacing w:after="0" w:line="240" w:lineRule="auto"/>
        <w:rPr>
          <w:rFonts w:cstheme="minorHAnsi"/>
          <w:lang w:val="en-GB"/>
        </w:rPr>
      </w:pPr>
      <w:r w:rsidRPr="006D1567">
        <w:rPr>
          <w:rFonts w:cstheme="minorHAnsi"/>
          <w:lang w:val="en-GB"/>
        </w:rPr>
        <w:t>Where:</w:t>
      </w:r>
    </w:p>
    <w:p w14:paraId="2D4A1AF7" w14:textId="77777777" w:rsidR="00564309" w:rsidRPr="006D1567" w:rsidRDefault="00564309" w:rsidP="006D1567">
      <w:pPr>
        <w:autoSpaceDE w:val="0"/>
        <w:autoSpaceDN w:val="0"/>
        <w:adjustRightInd w:val="0"/>
        <w:spacing w:before="240" w:after="0" w:line="240" w:lineRule="auto"/>
        <w:rPr>
          <w:rFonts w:cstheme="minorHAnsi"/>
        </w:rPr>
      </w:pPr>
      <w:r w:rsidRPr="006D1567">
        <w:rPr>
          <w:rFonts w:cstheme="minorHAnsi"/>
          <w:b/>
          <w:bCs/>
        </w:rPr>
        <w:t>LTTR</w:t>
      </w:r>
      <w:r w:rsidRPr="006D1567">
        <w:rPr>
          <w:rFonts w:cstheme="minorHAnsi"/>
          <w:b/>
          <w:bCs/>
          <w:vertAlign w:val="subscript"/>
        </w:rPr>
        <w:t>Y(n)</w:t>
      </w:r>
      <w:r w:rsidRPr="006D1567">
        <w:rPr>
          <w:rFonts w:cstheme="minorHAnsi"/>
        </w:rPr>
        <w:t xml:space="preserve"> – </w:t>
      </w:r>
      <w:r w:rsidRPr="006D1567">
        <w:rPr>
          <w:rFonts w:cstheme="minorHAnsi"/>
        </w:rPr>
        <w:tab/>
        <w:t>LTTRs capacity offered in yearly timeframe for year n in MW;</w:t>
      </w:r>
    </w:p>
    <w:p w14:paraId="0EF94109" w14:textId="77777777" w:rsidR="00564309" w:rsidRPr="006D1567" w:rsidRDefault="00564309" w:rsidP="006D1567">
      <w:pPr>
        <w:autoSpaceDE w:val="0"/>
        <w:autoSpaceDN w:val="0"/>
        <w:adjustRightInd w:val="0"/>
        <w:spacing w:before="240" w:after="0" w:line="240" w:lineRule="auto"/>
        <w:rPr>
          <w:rFonts w:cstheme="minorHAnsi"/>
        </w:rPr>
      </w:pPr>
      <w:r w:rsidRPr="006D1567">
        <w:rPr>
          <w:rFonts w:cstheme="minorHAnsi"/>
          <w:b/>
          <w:bCs/>
        </w:rPr>
        <w:t>LTTR</w:t>
      </w:r>
      <w:r w:rsidRPr="006D1567">
        <w:rPr>
          <w:rFonts w:cstheme="minorHAnsi"/>
          <w:b/>
          <w:bCs/>
          <w:vertAlign w:val="subscript"/>
        </w:rPr>
        <w:t>M(n)</w:t>
      </w:r>
      <w:r w:rsidRPr="006D1567">
        <w:rPr>
          <w:rFonts w:cstheme="minorHAnsi"/>
          <w:vertAlign w:val="subscript"/>
        </w:rPr>
        <w:t xml:space="preserve"> </w:t>
      </w:r>
      <w:r w:rsidRPr="006D1567">
        <w:rPr>
          <w:rFonts w:cstheme="minorHAnsi"/>
        </w:rPr>
        <w:t xml:space="preserve">– </w:t>
      </w:r>
      <w:r w:rsidRPr="006D1567">
        <w:rPr>
          <w:rFonts w:cstheme="minorHAnsi"/>
        </w:rPr>
        <w:tab/>
        <w:t>LTTRs capacity offered in relevant monthly timeframe for year n in MW;</w:t>
      </w:r>
    </w:p>
    <w:p w14:paraId="0B40BECE" w14:textId="681FA00E" w:rsidR="00564309" w:rsidRPr="006D1567" w:rsidRDefault="00564309" w:rsidP="006D1567">
      <w:pPr>
        <w:autoSpaceDE w:val="0"/>
        <w:autoSpaceDN w:val="0"/>
        <w:adjustRightInd w:val="0"/>
        <w:spacing w:before="240" w:after="0" w:line="240" w:lineRule="auto"/>
        <w:rPr>
          <w:rFonts w:cstheme="minorHAnsi"/>
          <w:lang w:val="en-GB"/>
        </w:rPr>
      </w:pPr>
      <w:r w:rsidRPr="006D1567">
        <w:rPr>
          <w:rFonts w:cstheme="minorHAnsi"/>
          <w:b/>
          <w:bCs/>
          <w:lang w:val="en-GB"/>
        </w:rPr>
        <w:t>minLTCZC</w:t>
      </w:r>
      <w:r w:rsidRPr="006D1567">
        <w:rPr>
          <w:rFonts w:cstheme="minorHAnsi"/>
          <w:b/>
          <w:bCs/>
          <w:vertAlign w:val="subscript"/>
          <w:lang w:val="en-GB"/>
        </w:rPr>
        <w:t>Y(n)</w:t>
      </w:r>
      <w:r w:rsidRPr="006D1567">
        <w:rPr>
          <w:rFonts w:cstheme="minorHAnsi"/>
          <w:b/>
          <w:bCs/>
          <w:lang w:val="en-GB"/>
        </w:rPr>
        <w:t>–</w:t>
      </w:r>
      <w:r w:rsidRPr="006D1567">
        <w:rPr>
          <w:rFonts w:cstheme="minorHAnsi"/>
          <w:lang w:val="en-GB"/>
        </w:rPr>
        <w:t xml:space="preserve"> </w:t>
      </w:r>
      <w:r w:rsidR="00291F2E">
        <w:rPr>
          <w:rFonts w:cstheme="minorHAnsi"/>
          <w:lang w:val="en-GB"/>
        </w:rPr>
        <w:tab/>
      </w:r>
      <w:r w:rsidRPr="006D1567">
        <w:rPr>
          <w:rFonts w:cstheme="minorHAnsi"/>
          <w:lang w:val="en-GB"/>
        </w:rPr>
        <w:t>the minimum forecasted monthly NTC value in MW of the long-term cross-zonal capacity for respective border and respective year (n) calculated according to the Long-term CCM of Baltic CCR, as stated in FCA Regulation Article 10;</w:t>
      </w:r>
    </w:p>
    <w:p w14:paraId="4DE491B8" w14:textId="6A4368F0" w:rsidR="00564309" w:rsidRPr="006D1567" w:rsidRDefault="00564309" w:rsidP="006D1567">
      <w:pPr>
        <w:autoSpaceDE w:val="0"/>
        <w:autoSpaceDN w:val="0"/>
        <w:adjustRightInd w:val="0"/>
        <w:spacing w:before="240" w:after="0" w:line="240" w:lineRule="auto"/>
        <w:rPr>
          <w:rFonts w:cstheme="minorHAnsi"/>
          <w:lang w:val="en-GB"/>
        </w:rPr>
      </w:pPr>
      <w:r w:rsidRPr="006D1567">
        <w:rPr>
          <w:rFonts w:cstheme="minorHAnsi"/>
          <w:b/>
          <w:bCs/>
          <w:lang w:val="en-GB"/>
        </w:rPr>
        <w:t>minLTCZC</w:t>
      </w:r>
      <w:r w:rsidRPr="006D1567">
        <w:rPr>
          <w:rFonts w:cstheme="minorHAnsi"/>
          <w:b/>
          <w:bCs/>
          <w:vertAlign w:val="subscript"/>
          <w:lang w:val="en-GB"/>
        </w:rPr>
        <w:t>M(n)</w:t>
      </w:r>
      <w:r w:rsidRPr="006D1567">
        <w:rPr>
          <w:rFonts w:cstheme="minorHAnsi"/>
          <w:b/>
          <w:bCs/>
          <w:lang w:val="en-GB"/>
        </w:rPr>
        <w:t>–</w:t>
      </w:r>
      <w:r w:rsidRPr="006D1567">
        <w:rPr>
          <w:rFonts w:cstheme="minorHAnsi"/>
          <w:lang w:val="en-GB"/>
        </w:rPr>
        <w:t xml:space="preserve"> </w:t>
      </w:r>
      <w:r w:rsidR="00291F2E">
        <w:rPr>
          <w:rFonts w:cstheme="minorHAnsi"/>
          <w:lang w:val="en-GB"/>
        </w:rPr>
        <w:tab/>
      </w:r>
      <w:r w:rsidRPr="006D1567">
        <w:rPr>
          <w:rFonts w:cstheme="minorHAnsi"/>
          <w:lang w:val="en-GB"/>
        </w:rPr>
        <w:t>the minimum forecasted daily NTC value in MW of the long-term cross-zonal capacity for respective border and respective month n calculated according to the Long-term CCM of Baltic CCR, as stated in FCA Regulation Article 10.</w:t>
      </w:r>
    </w:p>
    <w:p w14:paraId="27BB6DF7" w14:textId="77777777" w:rsidR="006D0CF6" w:rsidRPr="00B632E5" w:rsidRDefault="006D0CF6" w:rsidP="00C06120">
      <w:pPr>
        <w:rPr>
          <w:b/>
          <w:bCs/>
          <w:lang w:val="en-US"/>
        </w:rPr>
      </w:pPr>
    </w:p>
    <w:p w14:paraId="11DEBA64" w14:textId="4719C8FC" w:rsidR="003A0750" w:rsidRPr="000602C9" w:rsidRDefault="00E035D3" w:rsidP="00DA1F59">
      <w:pPr>
        <w:pStyle w:val="Heading2"/>
        <w:rPr>
          <w:lang w:val="en-GB"/>
        </w:rPr>
      </w:pPr>
      <w:r>
        <w:rPr>
          <w:lang w:val="en-GB"/>
        </w:rPr>
        <w:t>6</w:t>
      </w:r>
      <w:r w:rsidR="00E05343" w:rsidRPr="000602C9">
        <w:rPr>
          <w:lang w:val="en-GB"/>
        </w:rPr>
        <w:t xml:space="preserve">. Timeline </w:t>
      </w:r>
    </w:p>
    <w:p w14:paraId="28A15968" w14:textId="767AA58F" w:rsidR="003A0750" w:rsidRPr="00EB4BE6" w:rsidRDefault="00F903A5" w:rsidP="00D150F8">
      <w:pPr>
        <w:jc w:val="both"/>
        <w:rPr>
          <w:lang w:val="en-GB"/>
        </w:rPr>
      </w:pPr>
      <w:r w:rsidRPr="00F903A5">
        <w:rPr>
          <w:lang w:val="en-GB"/>
        </w:rPr>
        <w:t>The methodology will be implemented from the first LTTR auction after the Baltic CCR NRAs has approved the LTCS or a decision has been taken by the Agency for the Cooperation of Energy Regulators in accordance with Article 4(9), Article 4(10) and Article (11) of the FCA Regulation regarding the methodology.</w:t>
      </w:r>
    </w:p>
    <w:p w14:paraId="50EFC4C5" w14:textId="77777777" w:rsidR="004471C3" w:rsidRPr="00EB4BE6" w:rsidRDefault="004471C3" w:rsidP="006B0948">
      <w:pPr>
        <w:pStyle w:val="ListParagraph"/>
        <w:ind w:left="1080"/>
        <w:jc w:val="both"/>
        <w:rPr>
          <w:lang w:val="en-GB"/>
        </w:rPr>
      </w:pPr>
    </w:p>
    <w:sectPr w:rsidR="004471C3" w:rsidRPr="00EB4BE6" w:rsidSect="00D26883">
      <w:footerReference w:type="default" r:id="rId18"/>
      <w:footerReference w:type="first" r:id="rId1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0F827" w14:textId="77777777" w:rsidR="00442818" w:rsidRDefault="00442818">
      <w:pPr>
        <w:spacing w:after="0" w:line="240" w:lineRule="auto"/>
      </w:pPr>
      <w:r>
        <w:separator/>
      </w:r>
    </w:p>
  </w:endnote>
  <w:endnote w:type="continuationSeparator" w:id="0">
    <w:p w14:paraId="1C8439FE" w14:textId="77777777" w:rsidR="00442818" w:rsidRDefault="00442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6269342"/>
      <w:docPartObj>
        <w:docPartGallery w:val="Page Numbers (Bottom of Page)"/>
        <w:docPartUnique/>
      </w:docPartObj>
    </w:sdtPr>
    <w:sdtContent>
      <w:p w14:paraId="5337BB9C" w14:textId="77777777" w:rsidR="00394A0A" w:rsidRDefault="00E05343">
        <w:pPr>
          <w:pStyle w:val="Footer"/>
          <w:jc w:val="right"/>
        </w:pPr>
        <w:r>
          <w:fldChar w:fldCharType="begin"/>
        </w:r>
        <w:r>
          <w:instrText>PAGE   \* MERGEFORMAT</w:instrText>
        </w:r>
        <w:r>
          <w:fldChar w:fldCharType="separate"/>
        </w:r>
        <w:r>
          <w:rPr>
            <w:lang w:val="et-EE"/>
          </w:rPr>
          <w:t>2</w:t>
        </w:r>
        <w:r>
          <w:fldChar w:fldCharType="end"/>
        </w:r>
      </w:p>
    </w:sdtContent>
  </w:sdt>
  <w:p w14:paraId="1C2522D8" w14:textId="77777777" w:rsidR="00394A0A" w:rsidRDefault="00394A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6811D" w14:textId="77777777" w:rsidR="00D03B71" w:rsidRDefault="00E05343">
    <w:pPr>
      <w:jc w:val="center"/>
    </w:pPr>
    <w:r>
      <w:rPr>
        <w:rFonts w:ascii="Calibri" w:eastAsia="Calibri" w:hAnsi="Calibri" w:cs="Calibri"/>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C21C0" w14:textId="77777777" w:rsidR="00442818" w:rsidRDefault="00442818" w:rsidP="00720EB8">
      <w:pPr>
        <w:spacing w:after="0" w:line="240" w:lineRule="auto"/>
      </w:pPr>
      <w:r>
        <w:separator/>
      </w:r>
    </w:p>
  </w:footnote>
  <w:footnote w:type="continuationSeparator" w:id="0">
    <w:p w14:paraId="79C5FC62" w14:textId="77777777" w:rsidR="00442818" w:rsidRDefault="00442818" w:rsidP="00720EB8">
      <w:pPr>
        <w:spacing w:after="0" w:line="240" w:lineRule="auto"/>
      </w:pPr>
      <w:r>
        <w:continuationSeparator/>
      </w:r>
    </w:p>
  </w:footnote>
  <w:footnote w:id="1">
    <w:p w14:paraId="00B558ED" w14:textId="23715A9E" w:rsidR="00CC4999" w:rsidRPr="00354908" w:rsidRDefault="00CC4999" w:rsidP="00CC4999">
      <w:pPr>
        <w:pStyle w:val="FootnoteText"/>
        <w:rPr>
          <w:lang w:val="et-EE"/>
        </w:rPr>
      </w:pPr>
      <w:r>
        <w:rPr>
          <w:rStyle w:val="FootnoteReference"/>
        </w:rPr>
        <w:footnoteRef/>
      </w:r>
      <w:r>
        <w:t xml:space="preserve"> </w:t>
      </w:r>
      <w:r>
        <w:rPr>
          <w:lang w:val="et-EE"/>
        </w:rPr>
        <w:t>In the consultation phase</w:t>
      </w:r>
      <w:r w:rsidR="00B2128B">
        <w:rPr>
          <w:lang w:val="et-EE"/>
        </w:rPr>
        <w:t xml:space="preserve">, the proposed values </w:t>
      </w:r>
      <w:r>
        <w:rPr>
          <w:lang w:val="et-EE"/>
        </w:rPr>
        <w:t>were 150 MW for Yearly and 200 MW for Monthly</w:t>
      </w:r>
      <w:r w:rsidR="00E814BD">
        <w:rPr>
          <w:lang w:val="et-EE"/>
        </w:rPr>
        <w:t xml:space="preserve"> </w:t>
      </w:r>
      <w:r w:rsidR="007D0DAF">
        <w:rPr>
          <w:lang w:val="et-EE"/>
        </w:rPr>
        <w:t>products. H</w:t>
      </w:r>
      <w:r w:rsidR="00C059A9">
        <w:rPr>
          <w:lang w:val="et-EE"/>
        </w:rPr>
        <w:t>owever,</w:t>
      </w:r>
      <w:r w:rsidR="00E814BD">
        <w:rPr>
          <w:lang w:val="et-EE"/>
        </w:rPr>
        <w:t xml:space="preserve"> </w:t>
      </w:r>
      <w:r w:rsidR="00C059A9">
        <w:rPr>
          <w:lang w:val="et-EE"/>
        </w:rPr>
        <w:t>taking into account</w:t>
      </w:r>
      <w:r w:rsidR="00E814BD">
        <w:rPr>
          <w:lang w:val="et-EE"/>
        </w:rPr>
        <w:t xml:space="preserve"> the consultation feedback</w:t>
      </w:r>
      <w:r w:rsidR="00C059A9">
        <w:rPr>
          <w:lang w:val="et-EE"/>
        </w:rPr>
        <w:t>, amended</w:t>
      </w:r>
      <w:r w:rsidR="007D0DAF">
        <w:rPr>
          <w:lang w:val="et-EE"/>
        </w:rPr>
        <w:t xml:space="preserve"> to 200 MW to Yearly and 150 MW for Monthly products.</w:t>
      </w:r>
    </w:p>
  </w:footnote>
  <w:footnote w:id="2">
    <w:p w14:paraId="69857809" w14:textId="3E08E428" w:rsidR="0056263A" w:rsidRPr="00C36049" w:rsidRDefault="0056263A">
      <w:pPr>
        <w:pStyle w:val="FootnoteText"/>
        <w:rPr>
          <w:lang w:val="et-EE"/>
        </w:rPr>
      </w:pPr>
      <w:r>
        <w:rPr>
          <w:rStyle w:val="FootnoteReference"/>
        </w:rPr>
        <w:footnoteRef/>
      </w:r>
      <w:r>
        <w:t xml:space="preserve"> </w:t>
      </w:r>
      <w:hyperlink r:id="rId1" w:history="1">
        <w:r w:rsidRPr="00045A25">
          <w:rPr>
            <w:rStyle w:val="Hyperlink"/>
          </w:rPr>
          <w:t>https://elering.ee/sites/default/files/public/varustuskindluse%20konverentsid/2024/Elering_VKA_2024_04062025.pdf</w:t>
        </w:r>
      </w:hyperlink>
      <w:r>
        <w:t xml:space="preserve"> (Figure 3.14)</w:t>
      </w:r>
    </w:p>
  </w:footnote>
  <w:footnote w:id="3">
    <w:p w14:paraId="0D3E6E6A" w14:textId="0DBAD9CF" w:rsidR="00897ED9" w:rsidRPr="00786EBD" w:rsidRDefault="00897ED9">
      <w:pPr>
        <w:pStyle w:val="FootnoteText"/>
        <w:rPr>
          <w:lang w:val="et-EE"/>
        </w:rPr>
      </w:pPr>
      <w:r>
        <w:rPr>
          <w:rStyle w:val="FootnoteReference"/>
        </w:rPr>
        <w:footnoteRef/>
      </w:r>
      <w:r>
        <w:t xml:space="preserve"> </w:t>
      </w:r>
      <w:r w:rsidRPr="00897ED9">
        <w:t>https://eepublicdownloads.blob.core.windows.net/public-cdn-container/clean-documents/Network%20codes%20documents/NC%20FCA/publications/ENTSO-E_Advocacy_Paper_-_FTR_curtailment.pdf</w:t>
      </w:r>
    </w:p>
  </w:footnote>
  <w:footnote w:id="4">
    <w:p w14:paraId="577542D7" w14:textId="08154479" w:rsidR="00AF3898" w:rsidRPr="00763C45" w:rsidRDefault="009A520F" w:rsidP="00AF3898">
      <w:pPr>
        <w:pStyle w:val="FootnoteText"/>
        <w:rPr>
          <w:i/>
          <w:iCs/>
          <w:lang w:val="et-EE"/>
        </w:rPr>
      </w:pPr>
      <w:r w:rsidRPr="00763C45">
        <w:rPr>
          <w:rStyle w:val="FootnoteReference"/>
          <w:i/>
          <w:iCs/>
        </w:rPr>
        <w:footnoteRef/>
      </w:r>
      <w:r w:rsidRPr="00763C45">
        <w:rPr>
          <w:i/>
          <w:iCs/>
        </w:rPr>
        <w:t xml:space="preserve"> </w:t>
      </w:r>
      <w:r w:rsidR="00AF3898" w:rsidRPr="00763C45">
        <w:rPr>
          <w:i/>
          <w:iCs/>
          <w:lang w:val="et-EE"/>
        </w:rPr>
        <w:t>Regulation (EU) 2019/943 of the European Parliament and of the Council on the internal market for electricity Article 19 – Use of congestion income</w:t>
      </w:r>
    </w:p>
    <w:p w14:paraId="4892262B" w14:textId="77777777" w:rsidR="00AF3898" w:rsidRPr="00763C45" w:rsidRDefault="00AF3898" w:rsidP="00AF3898">
      <w:pPr>
        <w:pStyle w:val="FootnoteText"/>
        <w:rPr>
          <w:i/>
          <w:iCs/>
          <w:lang w:val="et-EE"/>
        </w:rPr>
      </w:pPr>
      <w:r w:rsidRPr="00763C45">
        <w:rPr>
          <w:i/>
          <w:iCs/>
          <w:lang w:val="et-EE"/>
        </w:rPr>
        <w:t>According to this article, congestion income must be used exclusively for the following purposes:</w:t>
      </w:r>
    </w:p>
    <w:p w14:paraId="29CF2753" w14:textId="77777777" w:rsidR="00AF3898" w:rsidRPr="00763C45" w:rsidRDefault="00AF3898" w:rsidP="00AF3898">
      <w:pPr>
        <w:pStyle w:val="FootnoteText"/>
        <w:numPr>
          <w:ilvl w:val="0"/>
          <w:numId w:val="15"/>
        </w:numPr>
        <w:rPr>
          <w:i/>
          <w:iCs/>
          <w:lang w:val="et-EE"/>
        </w:rPr>
      </w:pPr>
      <w:r w:rsidRPr="00763C45">
        <w:rPr>
          <w:i/>
          <w:iCs/>
          <w:lang w:val="et-EE"/>
        </w:rPr>
        <w:t>Ensuring the availability and maintaining the operation of interconnectors;</w:t>
      </w:r>
    </w:p>
    <w:p w14:paraId="0B245D9E" w14:textId="77777777" w:rsidR="00AF3898" w:rsidRPr="00763C45" w:rsidRDefault="00AF3898" w:rsidP="00AF3898">
      <w:pPr>
        <w:pStyle w:val="FootnoteText"/>
        <w:numPr>
          <w:ilvl w:val="0"/>
          <w:numId w:val="15"/>
        </w:numPr>
        <w:rPr>
          <w:i/>
          <w:iCs/>
          <w:lang w:val="et-EE"/>
        </w:rPr>
      </w:pPr>
      <w:r w:rsidRPr="00763C45">
        <w:rPr>
          <w:i/>
          <w:iCs/>
          <w:lang w:val="et-EE"/>
        </w:rPr>
        <w:t>Investments aimed at increasing interconnection capacity;</w:t>
      </w:r>
    </w:p>
    <w:p w14:paraId="0D282E4C" w14:textId="77777777" w:rsidR="00AF3898" w:rsidRPr="00763C45" w:rsidRDefault="00AF3898" w:rsidP="00AF3898">
      <w:pPr>
        <w:pStyle w:val="FootnoteText"/>
        <w:numPr>
          <w:ilvl w:val="0"/>
          <w:numId w:val="15"/>
        </w:numPr>
        <w:rPr>
          <w:i/>
          <w:iCs/>
          <w:lang w:val="et-EE"/>
        </w:rPr>
      </w:pPr>
      <w:r w:rsidRPr="00763C45">
        <w:rPr>
          <w:i/>
          <w:iCs/>
          <w:lang w:val="et-EE"/>
        </w:rPr>
        <w:t>Or, if it cannot be used immediately, it must be placed on a separate account until it can be used for the purposes listed above.</w:t>
      </w:r>
    </w:p>
    <w:p w14:paraId="60ACDDF6" w14:textId="5984E06A" w:rsidR="009A520F" w:rsidRPr="00C21907" w:rsidRDefault="009A520F">
      <w:pPr>
        <w:pStyle w:val="FootnoteText"/>
        <w:rPr>
          <w:lang w:val="et-EE"/>
        </w:rPr>
      </w:pPr>
    </w:p>
  </w:footnote>
  <w:footnote w:id="5">
    <w:p w14:paraId="34E6249B" w14:textId="6321C116" w:rsidR="00C20492" w:rsidRPr="00C20492" w:rsidRDefault="00C20492">
      <w:pPr>
        <w:pStyle w:val="FootnoteText"/>
        <w:rPr>
          <w:lang w:val="et-EE"/>
        </w:rPr>
      </w:pPr>
      <w:r>
        <w:rPr>
          <w:rStyle w:val="FootnoteReference"/>
        </w:rPr>
        <w:footnoteRef/>
      </w:r>
      <w:r>
        <w:t xml:space="preserve"> </w:t>
      </w:r>
      <w:r>
        <w:rPr>
          <w:lang w:val="et-EE"/>
        </w:rPr>
        <w:t>In the consultation phase, the proposed values were 150 MW for Yearly and 200 MW for Monthly products. However, taking into account the consultation feedback, amended to 200 MW to Yearly and 150 MW for Monthly products.</w:t>
      </w:r>
    </w:p>
  </w:footnote>
  <w:footnote w:id="6">
    <w:p w14:paraId="60618F3C" w14:textId="11812AE2" w:rsidR="00821A54" w:rsidRPr="00821A54" w:rsidRDefault="00821A54">
      <w:pPr>
        <w:pStyle w:val="FootnoteText"/>
        <w:rPr>
          <w:lang w:val="et-EE"/>
        </w:rPr>
      </w:pPr>
      <w:r>
        <w:rPr>
          <w:rStyle w:val="FootnoteReference"/>
        </w:rPr>
        <w:footnoteRef/>
      </w:r>
      <w:r>
        <w:t xml:space="preserve"> </w:t>
      </w:r>
      <w:r>
        <w:rPr>
          <w:lang w:val="et-EE"/>
        </w:rPr>
        <w:t>In the consultation phase, the proposed values were 150 MW for Yearly and 200 MW for Monthly products. However, taking into account the consultation feedback, amended to 200 MW to Yearly and 150 MW for Monthly products.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F69DF"/>
    <w:multiLevelType w:val="hybridMultilevel"/>
    <w:tmpl w:val="AFB67344"/>
    <w:lvl w:ilvl="0" w:tplc="D1CAE63A">
      <w:start w:val="1"/>
      <w:numFmt w:val="bullet"/>
      <w:lvlText w:val=""/>
      <w:lvlJc w:val="left"/>
      <w:pPr>
        <w:ind w:left="720" w:hanging="360"/>
      </w:pPr>
      <w:rPr>
        <w:rFonts w:ascii="Symbol" w:hAnsi="Symbol" w:hint="default"/>
      </w:rPr>
    </w:lvl>
    <w:lvl w:ilvl="1" w:tplc="E0D86196" w:tentative="1">
      <w:start w:val="1"/>
      <w:numFmt w:val="bullet"/>
      <w:lvlText w:val="o"/>
      <w:lvlJc w:val="left"/>
      <w:pPr>
        <w:ind w:left="1440" w:hanging="360"/>
      </w:pPr>
      <w:rPr>
        <w:rFonts w:ascii="Courier New" w:hAnsi="Courier New" w:cs="Courier New" w:hint="default"/>
      </w:rPr>
    </w:lvl>
    <w:lvl w:ilvl="2" w:tplc="269EDB0E" w:tentative="1">
      <w:start w:val="1"/>
      <w:numFmt w:val="bullet"/>
      <w:lvlText w:val=""/>
      <w:lvlJc w:val="left"/>
      <w:pPr>
        <w:ind w:left="2160" w:hanging="360"/>
      </w:pPr>
      <w:rPr>
        <w:rFonts w:ascii="Wingdings" w:hAnsi="Wingdings" w:hint="default"/>
      </w:rPr>
    </w:lvl>
    <w:lvl w:ilvl="3" w:tplc="22544438" w:tentative="1">
      <w:start w:val="1"/>
      <w:numFmt w:val="bullet"/>
      <w:lvlText w:val=""/>
      <w:lvlJc w:val="left"/>
      <w:pPr>
        <w:ind w:left="2880" w:hanging="360"/>
      </w:pPr>
      <w:rPr>
        <w:rFonts w:ascii="Symbol" w:hAnsi="Symbol" w:hint="default"/>
      </w:rPr>
    </w:lvl>
    <w:lvl w:ilvl="4" w:tplc="8D0C8124" w:tentative="1">
      <w:start w:val="1"/>
      <w:numFmt w:val="bullet"/>
      <w:lvlText w:val="o"/>
      <w:lvlJc w:val="left"/>
      <w:pPr>
        <w:ind w:left="3600" w:hanging="360"/>
      </w:pPr>
      <w:rPr>
        <w:rFonts w:ascii="Courier New" w:hAnsi="Courier New" w:cs="Courier New" w:hint="default"/>
      </w:rPr>
    </w:lvl>
    <w:lvl w:ilvl="5" w:tplc="B33CA4EC" w:tentative="1">
      <w:start w:val="1"/>
      <w:numFmt w:val="bullet"/>
      <w:lvlText w:val=""/>
      <w:lvlJc w:val="left"/>
      <w:pPr>
        <w:ind w:left="4320" w:hanging="360"/>
      </w:pPr>
      <w:rPr>
        <w:rFonts w:ascii="Wingdings" w:hAnsi="Wingdings" w:hint="default"/>
      </w:rPr>
    </w:lvl>
    <w:lvl w:ilvl="6" w:tplc="8BE2D6B0" w:tentative="1">
      <w:start w:val="1"/>
      <w:numFmt w:val="bullet"/>
      <w:lvlText w:val=""/>
      <w:lvlJc w:val="left"/>
      <w:pPr>
        <w:ind w:left="5040" w:hanging="360"/>
      </w:pPr>
      <w:rPr>
        <w:rFonts w:ascii="Symbol" w:hAnsi="Symbol" w:hint="default"/>
      </w:rPr>
    </w:lvl>
    <w:lvl w:ilvl="7" w:tplc="D098F9BE" w:tentative="1">
      <w:start w:val="1"/>
      <w:numFmt w:val="bullet"/>
      <w:lvlText w:val="o"/>
      <w:lvlJc w:val="left"/>
      <w:pPr>
        <w:ind w:left="5760" w:hanging="360"/>
      </w:pPr>
      <w:rPr>
        <w:rFonts w:ascii="Courier New" w:hAnsi="Courier New" w:cs="Courier New" w:hint="default"/>
      </w:rPr>
    </w:lvl>
    <w:lvl w:ilvl="8" w:tplc="714274EA" w:tentative="1">
      <w:start w:val="1"/>
      <w:numFmt w:val="bullet"/>
      <w:lvlText w:val=""/>
      <w:lvlJc w:val="left"/>
      <w:pPr>
        <w:ind w:left="6480" w:hanging="360"/>
      </w:pPr>
      <w:rPr>
        <w:rFonts w:ascii="Wingdings" w:hAnsi="Wingdings" w:hint="default"/>
      </w:rPr>
    </w:lvl>
  </w:abstractNum>
  <w:abstractNum w:abstractNumId="1" w15:restartNumberingAfterBreak="0">
    <w:nsid w:val="0C2940A3"/>
    <w:multiLevelType w:val="hybridMultilevel"/>
    <w:tmpl w:val="EFAAD53A"/>
    <w:lvl w:ilvl="0" w:tplc="2222C3DC">
      <w:start w:val="1"/>
      <w:numFmt w:val="decimal"/>
      <w:lvlText w:val="%1."/>
      <w:lvlJc w:val="left"/>
      <w:pPr>
        <w:ind w:left="720" w:hanging="360"/>
      </w:pPr>
    </w:lvl>
    <w:lvl w:ilvl="1" w:tplc="7D2CA010" w:tentative="1">
      <w:start w:val="1"/>
      <w:numFmt w:val="lowerLetter"/>
      <w:lvlText w:val="%2."/>
      <w:lvlJc w:val="left"/>
      <w:pPr>
        <w:ind w:left="1440" w:hanging="360"/>
      </w:pPr>
    </w:lvl>
    <w:lvl w:ilvl="2" w:tplc="0C08F3EA" w:tentative="1">
      <w:start w:val="1"/>
      <w:numFmt w:val="lowerRoman"/>
      <w:lvlText w:val="%3."/>
      <w:lvlJc w:val="right"/>
      <w:pPr>
        <w:ind w:left="2160" w:hanging="180"/>
      </w:pPr>
    </w:lvl>
    <w:lvl w:ilvl="3" w:tplc="E28A7806" w:tentative="1">
      <w:start w:val="1"/>
      <w:numFmt w:val="decimal"/>
      <w:lvlText w:val="%4."/>
      <w:lvlJc w:val="left"/>
      <w:pPr>
        <w:ind w:left="2880" w:hanging="360"/>
      </w:pPr>
    </w:lvl>
    <w:lvl w:ilvl="4" w:tplc="20F609F4" w:tentative="1">
      <w:start w:val="1"/>
      <w:numFmt w:val="lowerLetter"/>
      <w:lvlText w:val="%5."/>
      <w:lvlJc w:val="left"/>
      <w:pPr>
        <w:ind w:left="3600" w:hanging="360"/>
      </w:pPr>
    </w:lvl>
    <w:lvl w:ilvl="5" w:tplc="265290C4" w:tentative="1">
      <w:start w:val="1"/>
      <w:numFmt w:val="lowerRoman"/>
      <w:lvlText w:val="%6."/>
      <w:lvlJc w:val="right"/>
      <w:pPr>
        <w:ind w:left="4320" w:hanging="180"/>
      </w:pPr>
    </w:lvl>
    <w:lvl w:ilvl="6" w:tplc="33BC1F60" w:tentative="1">
      <w:start w:val="1"/>
      <w:numFmt w:val="decimal"/>
      <w:lvlText w:val="%7."/>
      <w:lvlJc w:val="left"/>
      <w:pPr>
        <w:ind w:left="5040" w:hanging="360"/>
      </w:pPr>
    </w:lvl>
    <w:lvl w:ilvl="7" w:tplc="0C6E474E" w:tentative="1">
      <w:start w:val="1"/>
      <w:numFmt w:val="lowerLetter"/>
      <w:lvlText w:val="%8."/>
      <w:lvlJc w:val="left"/>
      <w:pPr>
        <w:ind w:left="5760" w:hanging="360"/>
      </w:pPr>
    </w:lvl>
    <w:lvl w:ilvl="8" w:tplc="FA7AC1BA" w:tentative="1">
      <w:start w:val="1"/>
      <w:numFmt w:val="lowerRoman"/>
      <w:lvlText w:val="%9."/>
      <w:lvlJc w:val="right"/>
      <w:pPr>
        <w:ind w:left="6480" w:hanging="180"/>
      </w:pPr>
    </w:lvl>
  </w:abstractNum>
  <w:abstractNum w:abstractNumId="2" w15:restartNumberingAfterBreak="0">
    <w:nsid w:val="0D3728DA"/>
    <w:multiLevelType w:val="multilevel"/>
    <w:tmpl w:val="F10AC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087509"/>
    <w:multiLevelType w:val="hybridMultilevel"/>
    <w:tmpl w:val="C144CAD0"/>
    <w:lvl w:ilvl="0" w:tplc="055007C8">
      <w:start w:val="1"/>
      <w:numFmt w:val="bullet"/>
      <w:lvlText w:val="-"/>
      <w:lvlJc w:val="left"/>
      <w:pPr>
        <w:ind w:left="1145" w:hanging="360"/>
      </w:pPr>
      <w:rPr>
        <w:rFonts w:ascii="Calibri" w:eastAsiaTheme="minorHAnsi" w:hAnsi="Calibri" w:cstheme="minorBidi" w:hint="default"/>
      </w:rPr>
    </w:lvl>
    <w:lvl w:ilvl="1" w:tplc="C2BAD4BA" w:tentative="1">
      <w:start w:val="1"/>
      <w:numFmt w:val="bullet"/>
      <w:lvlText w:val="o"/>
      <w:lvlJc w:val="left"/>
      <w:pPr>
        <w:ind w:left="1865" w:hanging="360"/>
      </w:pPr>
      <w:rPr>
        <w:rFonts w:ascii="Courier New" w:hAnsi="Courier New" w:cs="Courier New" w:hint="default"/>
      </w:rPr>
    </w:lvl>
    <w:lvl w:ilvl="2" w:tplc="896A10C8" w:tentative="1">
      <w:start w:val="1"/>
      <w:numFmt w:val="bullet"/>
      <w:lvlText w:val=""/>
      <w:lvlJc w:val="left"/>
      <w:pPr>
        <w:ind w:left="2585" w:hanging="360"/>
      </w:pPr>
      <w:rPr>
        <w:rFonts w:ascii="Wingdings" w:hAnsi="Wingdings" w:hint="default"/>
      </w:rPr>
    </w:lvl>
    <w:lvl w:ilvl="3" w:tplc="3298481C" w:tentative="1">
      <w:start w:val="1"/>
      <w:numFmt w:val="bullet"/>
      <w:lvlText w:val=""/>
      <w:lvlJc w:val="left"/>
      <w:pPr>
        <w:ind w:left="3305" w:hanging="360"/>
      </w:pPr>
      <w:rPr>
        <w:rFonts w:ascii="Symbol" w:hAnsi="Symbol" w:hint="default"/>
      </w:rPr>
    </w:lvl>
    <w:lvl w:ilvl="4" w:tplc="CB701FF2" w:tentative="1">
      <w:start w:val="1"/>
      <w:numFmt w:val="bullet"/>
      <w:lvlText w:val="o"/>
      <w:lvlJc w:val="left"/>
      <w:pPr>
        <w:ind w:left="4025" w:hanging="360"/>
      </w:pPr>
      <w:rPr>
        <w:rFonts w:ascii="Courier New" w:hAnsi="Courier New" w:cs="Courier New" w:hint="default"/>
      </w:rPr>
    </w:lvl>
    <w:lvl w:ilvl="5" w:tplc="0EE47FD0" w:tentative="1">
      <w:start w:val="1"/>
      <w:numFmt w:val="bullet"/>
      <w:lvlText w:val=""/>
      <w:lvlJc w:val="left"/>
      <w:pPr>
        <w:ind w:left="4745" w:hanging="360"/>
      </w:pPr>
      <w:rPr>
        <w:rFonts w:ascii="Wingdings" w:hAnsi="Wingdings" w:hint="default"/>
      </w:rPr>
    </w:lvl>
    <w:lvl w:ilvl="6" w:tplc="ECC4B620" w:tentative="1">
      <w:start w:val="1"/>
      <w:numFmt w:val="bullet"/>
      <w:lvlText w:val=""/>
      <w:lvlJc w:val="left"/>
      <w:pPr>
        <w:ind w:left="5465" w:hanging="360"/>
      </w:pPr>
      <w:rPr>
        <w:rFonts w:ascii="Symbol" w:hAnsi="Symbol" w:hint="default"/>
      </w:rPr>
    </w:lvl>
    <w:lvl w:ilvl="7" w:tplc="991A09C8" w:tentative="1">
      <w:start w:val="1"/>
      <w:numFmt w:val="bullet"/>
      <w:lvlText w:val="o"/>
      <w:lvlJc w:val="left"/>
      <w:pPr>
        <w:ind w:left="6185" w:hanging="360"/>
      </w:pPr>
      <w:rPr>
        <w:rFonts w:ascii="Courier New" w:hAnsi="Courier New" w:cs="Courier New" w:hint="default"/>
      </w:rPr>
    </w:lvl>
    <w:lvl w:ilvl="8" w:tplc="8A2C4976" w:tentative="1">
      <w:start w:val="1"/>
      <w:numFmt w:val="bullet"/>
      <w:lvlText w:val=""/>
      <w:lvlJc w:val="left"/>
      <w:pPr>
        <w:ind w:left="6905" w:hanging="360"/>
      </w:pPr>
      <w:rPr>
        <w:rFonts w:ascii="Wingdings" w:hAnsi="Wingdings" w:hint="default"/>
      </w:rPr>
    </w:lvl>
  </w:abstractNum>
  <w:abstractNum w:abstractNumId="4" w15:restartNumberingAfterBreak="0">
    <w:nsid w:val="12172D60"/>
    <w:multiLevelType w:val="hybridMultilevel"/>
    <w:tmpl w:val="E22432C2"/>
    <w:lvl w:ilvl="0" w:tplc="5FC6A6AE">
      <w:numFmt w:val="bullet"/>
      <w:lvlText w:val="•"/>
      <w:lvlJc w:val="left"/>
      <w:pPr>
        <w:ind w:left="720" w:hanging="360"/>
      </w:pPr>
      <w:rPr>
        <w:rFonts w:ascii="Calibri" w:eastAsiaTheme="minorHAnsi" w:hAnsi="Calibri" w:cs="Calibri" w:hint="default"/>
      </w:rPr>
    </w:lvl>
    <w:lvl w:ilvl="1" w:tplc="0860C676" w:tentative="1">
      <w:start w:val="1"/>
      <w:numFmt w:val="bullet"/>
      <w:lvlText w:val="o"/>
      <w:lvlJc w:val="left"/>
      <w:pPr>
        <w:ind w:left="1440" w:hanging="360"/>
      </w:pPr>
      <w:rPr>
        <w:rFonts w:ascii="Courier New" w:hAnsi="Courier New" w:cs="Courier New" w:hint="default"/>
      </w:rPr>
    </w:lvl>
    <w:lvl w:ilvl="2" w:tplc="1B808848" w:tentative="1">
      <w:start w:val="1"/>
      <w:numFmt w:val="bullet"/>
      <w:lvlText w:val=""/>
      <w:lvlJc w:val="left"/>
      <w:pPr>
        <w:ind w:left="2160" w:hanging="360"/>
      </w:pPr>
      <w:rPr>
        <w:rFonts w:ascii="Wingdings" w:hAnsi="Wingdings" w:hint="default"/>
      </w:rPr>
    </w:lvl>
    <w:lvl w:ilvl="3" w:tplc="A6F6AF42" w:tentative="1">
      <w:start w:val="1"/>
      <w:numFmt w:val="bullet"/>
      <w:lvlText w:val=""/>
      <w:lvlJc w:val="left"/>
      <w:pPr>
        <w:ind w:left="2880" w:hanging="360"/>
      </w:pPr>
      <w:rPr>
        <w:rFonts w:ascii="Symbol" w:hAnsi="Symbol" w:hint="default"/>
      </w:rPr>
    </w:lvl>
    <w:lvl w:ilvl="4" w:tplc="FBAA63EE" w:tentative="1">
      <w:start w:val="1"/>
      <w:numFmt w:val="bullet"/>
      <w:lvlText w:val="o"/>
      <w:lvlJc w:val="left"/>
      <w:pPr>
        <w:ind w:left="3600" w:hanging="360"/>
      </w:pPr>
      <w:rPr>
        <w:rFonts w:ascii="Courier New" w:hAnsi="Courier New" w:cs="Courier New" w:hint="default"/>
      </w:rPr>
    </w:lvl>
    <w:lvl w:ilvl="5" w:tplc="0440495A" w:tentative="1">
      <w:start w:val="1"/>
      <w:numFmt w:val="bullet"/>
      <w:lvlText w:val=""/>
      <w:lvlJc w:val="left"/>
      <w:pPr>
        <w:ind w:left="4320" w:hanging="360"/>
      </w:pPr>
      <w:rPr>
        <w:rFonts w:ascii="Wingdings" w:hAnsi="Wingdings" w:hint="default"/>
      </w:rPr>
    </w:lvl>
    <w:lvl w:ilvl="6" w:tplc="96E43968" w:tentative="1">
      <w:start w:val="1"/>
      <w:numFmt w:val="bullet"/>
      <w:lvlText w:val=""/>
      <w:lvlJc w:val="left"/>
      <w:pPr>
        <w:ind w:left="5040" w:hanging="360"/>
      </w:pPr>
      <w:rPr>
        <w:rFonts w:ascii="Symbol" w:hAnsi="Symbol" w:hint="default"/>
      </w:rPr>
    </w:lvl>
    <w:lvl w:ilvl="7" w:tplc="D5721C6C" w:tentative="1">
      <w:start w:val="1"/>
      <w:numFmt w:val="bullet"/>
      <w:lvlText w:val="o"/>
      <w:lvlJc w:val="left"/>
      <w:pPr>
        <w:ind w:left="5760" w:hanging="360"/>
      </w:pPr>
      <w:rPr>
        <w:rFonts w:ascii="Courier New" w:hAnsi="Courier New" w:cs="Courier New" w:hint="default"/>
      </w:rPr>
    </w:lvl>
    <w:lvl w:ilvl="8" w:tplc="E1AAB1D0" w:tentative="1">
      <w:start w:val="1"/>
      <w:numFmt w:val="bullet"/>
      <w:lvlText w:val=""/>
      <w:lvlJc w:val="left"/>
      <w:pPr>
        <w:ind w:left="6480" w:hanging="360"/>
      </w:pPr>
      <w:rPr>
        <w:rFonts w:ascii="Wingdings" w:hAnsi="Wingdings" w:hint="default"/>
      </w:rPr>
    </w:lvl>
  </w:abstractNum>
  <w:abstractNum w:abstractNumId="5" w15:restartNumberingAfterBreak="0">
    <w:nsid w:val="16807075"/>
    <w:multiLevelType w:val="hybridMultilevel"/>
    <w:tmpl w:val="826012C6"/>
    <w:lvl w:ilvl="0" w:tplc="91D655F2">
      <w:start w:val="5"/>
      <w:numFmt w:val="bullet"/>
      <w:lvlText w:val="-"/>
      <w:lvlJc w:val="left"/>
      <w:pPr>
        <w:ind w:left="720" w:hanging="360"/>
      </w:pPr>
      <w:rPr>
        <w:rFonts w:ascii="Calibri" w:eastAsiaTheme="minorHAns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27BC1DAA"/>
    <w:multiLevelType w:val="multilevel"/>
    <w:tmpl w:val="86D4E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49157A"/>
    <w:multiLevelType w:val="multilevel"/>
    <w:tmpl w:val="79F885EC"/>
    <w:lvl w:ilvl="0">
      <w:start w:val="5"/>
      <w:numFmt w:val="bullet"/>
      <w:lvlText w:val="-"/>
      <w:lvlJc w:val="left"/>
      <w:pPr>
        <w:tabs>
          <w:tab w:val="num" w:pos="720"/>
        </w:tabs>
        <w:ind w:left="720" w:hanging="360"/>
      </w:pPr>
      <w:rPr>
        <w:rFonts w:ascii="Calibri" w:eastAsiaTheme="minorHAnsi" w:hAnsi="Calibri" w:cs="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F12C05"/>
    <w:multiLevelType w:val="hybridMultilevel"/>
    <w:tmpl w:val="279C0A28"/>
    <w:lvl w:ilvl="0" w:tplc="2C787E36">
      <w:start w:val="1"/>
      <w:numFmt w:val="decimal"/>
      <w:lvlText w:val="%1)"/>
      <w:lvlJc w:val="left"/>
      <w:pPr>
        <w:ind w:left="1080" w:hanging="360"/>
      </w:pPr>
      <w:rPr>
        <w:rFonts w:hint="default"/>
      </w:rPr>
    </w:lvl>
    <w:lvl w:ilvl="1" w:tplc="646E6AE6" w:tentative="1">
      <w:start w:val="1"/>
      <w:numFmt w:val="lowerLetter"/>
      <w:lvlText w:val="%2."/>
      <w:lvlJc w:val="left"/>
      <w:pPr>
        <w:ind w:left="1800" w:hanging="360"/>
      </w:pPr>
    </w:lvl>
    <w:lvl w:ilvl="2" w:tplc="6FDA8A62" w:tentative="1">
      <w:start w:val="1"/>
      <w:numFmt w:val="lowerRoman"/>
      <w:lvlText w:val="%3."/>
      <w:lvlJc w:val="right"/>
      <w:pPr>
        <w:ind w:left="2520" w:hanging="180"/>
      </w:pPr>
    </w:lvl>
    <w:lvl w:ilvl="3" w:tplc="3B50E22C" w:tentative="1">
      <w:start w:val="1"/>
      <w:numFmt w:val="decimal"/>
      <w:lvlText w:val="%4."/>
      <w:lvlJc w:val="left"/>
      <w:pPr>
        <w:ind w:left="3240" w:hanging="360"/>
      </w:pPr>
    </w:lvl>
    <w:lvl w:ilvl="4" w:tplc="5AFE378A" w:tentative="1">
      <w:start w:val="1"/>
      <w:numFmt w:val="lowerLetter"/>
      <w:lvlText w:val="%5."/>
      <w:lvlJc w:val="left"/>
      <w:pPr>
        <w:ind w:left="3960" w:hanging="360"/>
      </w:pPr>
    </w:lvl>
    <w:lvl w:ilvl="5" w:tplc="F2A64D6C" w:tentative="1">
      <w:start w:val="1"/>
      <w:numFmt w:val="lowerRoman"/>
      <w:lvlText w:val="%6."/>
      <w:lvlJc w:val="right"/>
      <w:pPr>
        <w:ind w:left="4680" w:hanging="180"/>
      </w:pPr>
    </w:lvl>
    <w:lvl w:ilvl="6" w:tplc="A3E89F90" w:tentative="1">
      <w:start w:val="1"/>
      <w:numFmt w:val="decimal"/>
      <w:lvlText w:val="%7."/>
      <w:lvlJc w:val="left"/>
      <w:pPr>
        <w:ind w:left="5400" w:hanging="360"/>
      </w:pPr>
    </w:lvl>
    <w:lvl w:ilvl="7" w:tplc="D22469E2" w:tentative="1">
      <w:start w:val="1"/>
      <w:numFmt w:val="lowerLetter"/>
      <w:lvlText w:val="%8."/>
      <w:lvlJc w:val="left"/>
      <w:pPr>
        <w:ind w:left="6120" w:hanging="360"/>
      </w:pPr>
    </w:lvl>
    <w:lvl w:ilvl="8" w:tplc="63262E86" w:tentative="1">
      <w:start w:val="1"/>
      <w:numFmt w:val="lowerRoman"/>
      <w:lvlText w:val="%9."/>
      <w:lvlJc w:val="right"/>
      <w:pPr>
        <w:ind w:left="6840" w:hanging="180"/>
      </w:pPr>
    </w:lvl>
  </w:abstractNum>
  <w:abstractNum w:abstractNumId="9" w15:restartNumberingAfterBreak="0">
    <w:nsid w:val="470F3B6D"/>
    <w:multiLevelType w:val="hybridMultilevel"/>
    <w:tmpl w:val="25163156"/>
    <w:lvl w:ilvl="0" w:tplc="91D655F2">
      <w:start w:val="5"/>
      <w:numFmt w:val="bullet"/>
      <w:lvlText w:val="-"/>
      <w:lvlJc w:val="left"/>
      <w:pPr>
        <w:ind w:left="1080" w:hanging="360"/>
      </w:pPr>
      <w:rPr>
        <w:rFonts w:ascii="Calibri" w:eastAsiaTheme="minorHAnsi" w:hAnsi="Calibri" w:cs="Calibri"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10" w15:restartNumberingAfterBreak="0">
    <w:nsid w:val="4E3352B7"/>
    <w:multiLevelType w:val="hybridMultilevel"/>
    <w:tmpl w:val="E020D982"/>
    <w:lvl w:ilvl="0" w:tplc="FC60A174">
      <w:start w:val="1"/>
      <w:numFmt w:val="bullet"/>
      <w:lvlText w:val="•"/>
      <w:lvlJc w:val="left"/>
      <w:pPr>
        <w:tabs>
          <w:tab w:val="num" w:pos="720"/>
        </w:tabs>
        <w:ind w:left="720" w:hanging="360"/>
      </w:pPr>
      <w:rPr>
        <w:rFonts w:ascii="Arial" w:hAnsi="Arial" w:hint="default"/>
      </w:rPr>
    </w:lvl>
    <w:lvl w:ilvl="1" w:tplc="8A22A62A">
      <w:numFmt w:val="bullet"/>
      <w:lvlText w:val="•"/>
      <w:lvlJc w:val="left"/>
      <w:pPr>
        <w:tabs>
          <w:tab w:val="num" w:pos="1440"/>
        </w:tabs>
        <w:ind w:left="1440" w:hanging="360"/>
      </w:pPr>
      <w:rPr>
        <w:rFonts w:ascii="Arial" w:hAnsi="Arial" w:hint="default"/>
      </w:rPr>
    </w:lvl>
    <w:lvl w:ilvl="2" w:tplc="473C3E10" w:tentative="1">
      <w:start w:val="1"/>
      <w:numFmt w:val="bullet"/>
      <w:lvlText w:val="•"/>
      <w:lvlJc w:val="left"/>
      <w:pPr>
        <w:tabs>
          <w:tab w:val="num" w:pos="2160"/>
        </w:tabs>
        <w:ind w:left="2160" w:hanging="360"/>
      </w:pPr>
      <w:rPr>
        <w:rFonts w:ascii="Arial" w:hAnsi="Arial" w:hint="default"/>
      </w:rPr>
    </w:lvl>
    <w:lvl w:ilvl="3" w:tplc="5CF8F192" w:tentative="1">
      <w:start w:val="1"/>
      <w:numFmt w:val="bullet"/>
      <w:lvlText w:val="•"/>
      <w:lvlJc w:val="left"/>
      <w:pPr>
        <w:tabs>
          <w:tab w:val="num" w:pos="2880"/>
        </w:tabs>
        <w:ind w:left="2880" w:hanging="360"/>
      </w:pPr>
      <w:rPr>
        <w:rFonts w:ascii="Arial" w:hAnsi="Arial" w:hint="default"/>
      </w:rPr>
    </w:lvl>
    <w:lvl w:ilvl="4" w:tplc="EED042CA" w:tentative="1">
      <w:start w:val="1"/>
      <w:numFmt w:val="bullet"/>
      <w:lvlText w:val="•"/>
      <w:lvlJc w:val="left"/>
      <w:pPr>
        <w:tabs>
          <w:tab w:val="num" w:pos="3600"/>
        </w:tabs>
        <w:ind w:left="3600" w:hanging="360"/>
      </w:pPr>
      <w:rPr>
        <w:rFonts w:ascii="Arial" w:hAnsi="Arial" w:hint="default"/>
      </w:rPr>
    </w:lvl>
    <w:lvl w:ilvl="5" w:tplc="B9C2EF12" w:tentative="1">
      <w:start w:val="1"/>
      <w:numFmt w:val="bullet"/>
      <w:lvlText w:val="•"/>
      <w:lvlJc w:val="left"/>
      <w:pPr>
        <w:tabs>
          <w:tab w:val="num" w:pos="4320"/>
        </w:tabs>
        <w:ind w:left="4320" w:hanging="360"/>
      </w:pPr>
      <w:rPr>
        <w:rFonts w:ascii="Arial" w:hAnsi="Arial" w:hint="default"/>
      </w:rPr>
    </w:lvl>
    <w:lvl w:ilvl="6" w:tplc="2230CCD0" w:tentative="1">
      <w:start w:val="1"/>
      <w:numFmt w:val="bullet"/>
      <w:lvlText w:val="•"/>
      <w:lvlJc w:val="left"/>
      <w:pPr>
        <w:tabs>
          <w:tab w:val="num" w:pos="5040"/>
        </w:tabs>
        <w:ind w:left="5040" w:hanging="360"/>
      </w:pPr>
      <w:rPr>
        <w:rFonts w:ascii="Arial" w:hAnsi="Arial" w:hint="default"/>
      </w:rPr>
    </w:lvl>
    <w:lvl w:ilvl="7" w:tplc="EC82E104" w:tentative="1">
      <w:start w:val="1"/>
      <w:numFmt w:val="bullet"/>
      <w:lvlText w:val="•"/>
      <w:lvlJc w:val="left"/>
      <w:pPr>
        <w:tabs>
          <w:tab w:val="num" w:pos="5760"/>
        </w:tabs>
        <w:ind w:left="5760" w:hanging="360"/>
      </w:pPr>
      <w:rPr>
        <w:rFonts w:ascii="Arial" w:hAnsi="Arial" w:hint="default"/>
      </w:rPr>
    </w:lvl>
    <w:lvl w:ilvl="8" w:tplc="E9AAD990"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5729001C"/>
    <w:multiLevelType w:val="hybridMultilevel"/>
    <w:tmpl w:val="BD88C33C"/>
    <w:lvl w:ilvl="0" w:tplc="4C444576">
      <w:start w:val="1"/>
      <w:numFmt w:val="bullet"/>
      <w:lvlText w:val="•"/>
      <w:lvlJc w:val="left"/>
      <w:pPr>
        <w:tabs>
          <w:tab w:val="num" w:pos="720"/>
        </w:tabs>
        <w:ind w:left="720" w:hanging="360"/>
      </w:pPr>
      <w:rPr>
        <w:rFonts w:ascii="Arial" w:hAnsi="Arial" w:hint="default"/>
      </w:rPr>
    </w:lvl>
    <w:lvl w:ilvl="1" w:tplc="493E55FC">
      <w:numFmt w:val="bullet"/>
      <w:lvlText w:val="•"/>
      <w:lvlJc w:val="left"/>
      <w:pPr>
        <w:tabs>
          <w:tab w:val="num" w:pos="1440"/>
        </w:tabs>
        <w:ind w:left="1440" w:hanging="360"/>
      </w:pPr>
      <w:rPr>
        <w:rFonts w:ascii="Arial" w:hAnsi="Arial" w:hint="default"/>
      </w:rPr>
    </w:lvl>
    <w:lvl w:ilvl="2" w:tplc="048A71C0" w:tentative="1">
      <w:start w:val="1"/>
      <w:numFmt w:val="bullet"/>
      <w:lvlText w:val="•"/>
      <w:lvlJc w:val="left"/>
      <w:pPr>
        <w:tabs>
          <w:tab w:val="num" w:pos="2160"/>
        </w:tabs>
        <w:ind w:left="2160" w:hanging="360"/>
      </w:pPr>
      <w:rPr>
        <w:rFonts w:ascii="Arial" w:hAnsi="Arial" w:hint="default"/>
      </w:rPr>
    </w:lvl>
    <w:lvl w:ilvl="3" w:tplc="5F4E94F4" w:tentative="1">
      <w:start w:val="1"/>
      <w:numFmt w:val="bullet"/>
      <w:lvlText w:val="•"/>
      <w:lvlJc w:val="left"/>
      <w:pPr>
        <w:tabs>
          <w:tab w:val="num" w:pos="2880"/>
        </w:tabs>
        <w:ind w:left="2880" w:hanging="360"/>
      </w:pPr>
      <w:rPr>
        <w:rFonts w:ascii="Arial" w:hAnsi="Arial" w:hint="default"/>
      </w:rPr>
    </w:lvl>
    <w:lvl w:ilvl="4" w:tplc="FCA0396E" w:tentative="1">
      <w:start w:val="1"/>
      <w:numFmt w:val="bullet"/>
      <w:lvlText w:val="•"/>
      <w:lvlJc w:val="left"/>
      <w:pPr>
        <w:tabs>
          <w:tab w:val="num" w:pos="3600"/>
        </w:tabs>
        <w:ind w:left="3600" w:hanging="360"/>
      </w:pPr>
      <w:rPr>
        <w:rFonts w:ascii="Arial" w:hAnsi="Arial" w:hint="default"/>
      </w:rPr>
    </w:lvl>
    <w:lvl w:ilvl="5" w:tplc="8A8CAA5A" w:tentative="1">
      <w:start w:val="1"/>
      <w:numFmt w:val="bullet"/>
      <w:lvlText w:val="•"/>
      <w:lvlJc w:val="left"/>
      <w:pPr>
        <w:tabs>
          <w:tab w:val="num" w:pos="4320"/>
        </w:tabs>
        <w:ind w:left="4320" w:hanging="360"/>
      </w:pPr>
      <w:rPr>
        <w:rFonts w:ascii="Arial" w:hAnsi="Arial" w:hint="default"/>
      </w:rPr>
    </w:lvl>
    <w:lvl w:ilvl="6" w:tplc="CF06AD38" w:tentative="1">
      <w:start w:val="1"/>
      <w:numFmt w:val="bullet"/>
      <w:lvlText w:val="•"/>
      <w:lvlJc w:val="left"/>
      <w:pPr>
        <w:tabs>
          <w:tab w:val="num" w:pos="5040"/>
        </w:tabs>
        <w:ind w:left="5040" w:hanging="360"/>
      </w:pPr>
      <w:rPr>
        <w:rFonts w:ascii="Arial" w:hAnsi="Arial" w:hint="default"/>
      </w:rPr>
    </w:lvl>
    <w:lvl w:ilvl="7" w:tplc="AB6CECBC" w:tentative="1">
      <w:start w:val="1"/>
      <w:numFmt w:val="bullet"/>
      <w:lvlText w:val="•"/>
      <w:lvlJc w:val="left"/>
      <w:pPr>
        <w:tabs>
          <w:tab w:val="num" w:pos="5760"/>
        </w:tabs>
        <w:ind w:left="5760" w:hanging="360"/>
      </w:pPr>
      <w:rPr>
        <w:rFonts w:ascii="Arial" w:hAnsi="Arial" w:hint="default"/>
      </w:rPr>
    </w:lvl>
    <w:lvl w:ilvl="8" w:tplc="6BB8D010"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5828355C"/>
    <w:multiLevelType w:val="multilevel"/>
    <w:tmpl w:val="823A7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29352F8"/>
    <w:multiLevelType w:val="hybridMultilevel"/>
    <w:tmpl w:val="6D06DF68"/>
    <w:lvl w:ilvl="0" w:tplc="970ABE12">
      <w:start w:val="1"/>
      <w:numFmt w:val="decimal"/>
      <w:lvlText w:val="%1)"/>
      <w:lvlJc w:val="left"/>
      <w:pPr>
        <w:ind w:left="1800" w:hanging="360"/>
      </w:pPr>
      <w:rPr>
        <w:rFonts w:hint="default"/>
      </w:rPr>
    </w:lvl>
    <w:lvl w:ilvl="1" w:tplc="49ACBA4A" w:tentative="1">
      <w:start w:val="1"/>
      <w:numFmt w:val="lowerLetter"/>
      <w:lvlText w:val="%2."/>
      <w:lvlJc w:val="left"/>
      <w:pPr>
        <w:ind w:left="2160" w:hanging="360"/>
      </w:pPr>
    </w:lvl>
    <w:lvl w:ilvl="2" w:tplc="41EEC95A" w:tentative="1">
      <w:start w:val="1"/>
      <w:numFmt w:val="lowerRoman"/>
      <w:lvlText w:val="%3."/>
      <w:lvlJc w:val="right"/>
      <w:pPr>
        <w:ind w:left="2880" w:hanging="180"/>
      </w:pPr>
    </w:lvl>
    <w:lvl w:ilvl="3" w:tplc="121C0B42" w:tentative="1">
      <w:start w:val="1"/>
      <w:numFmt w:val="decimal"/>
      <w:lvlText w:val="%4."/>
      <w:lvlJc w:val="left"/>
      <w:pPr>
        <w:ind w:left="3600" w:hanging="360"/>
      </w:pPr>
    </w:lvl>
    <w:lvl w:ilvl="4" w:tplc="2FB47BB4" w:tentative="1">
      <w:start w:val="1"/>
      <w:numFmt w:val="lowerLetter"/>
      <w:lvlText w:val="%5."/>
      <w:lvlJc w:val="left"/>
      <w:pPr>
        <w:ind w:left="4320" w:hanging="360"/>
      </w:pPr>
    </w:lvl>
    <w:lvl w:ilvl="5" w:tplc="458C8B4A" w:tentative="1">
      <w:start w:val="1"/>
      <w:numFmt w:val="lowerRoman"/>
      <w:lvlText w:val="%6."/>
      <w:lvlJc w:val="right"/>
      <w:pPr>
        <w:ind w:left="5040" w:hanging="180"/>
      </w:pPr>
    </w:lvl>
    <w:lvl w:ilvl="6" w:tplc="FAB460FC" w:tentative="1">
      <w:start w:val="1"/>
      <w:numFmt w:val="decimal"/>
      <w:lvlText w:val="%7."/>
      <w:lvlJc w:val="left"/>
      <w:pPr>
        <w:ind w:left="5760" w:hanging="360"/>
      </w:pPr>
    </w:lvl>
    <w:lvl w:ilvl="7" w:tplc="27567636" w:tentative="1">
      <w:start w:val="1"/>
      <w:numFmt w:val="lowerLetter"/>
      <w:lvlText w:val="%8."/>
      <w:lvlJc w:val="left"/>
      <w:pPr>
        <w:ind w:left="6480" w:hanging="360"/>
      </w:pPr>
    </w:lvl>
    <w:lvl w:ilvl="8" w:tplc="60EEE7E4" w:tentative="1">
      <w:start w:val="1"/>
      <w:numFmt w:val="lowerRoman"/>
      <w:lvlText w:val="%9."/>
      <w:lvlJc w:val="right"/>
      <w:pPr>
        <w:ind w:left="7200" w:hanging="180"/>
      </w:pPr>
    </w:lvl>
  </w:abstractNum>
  <w:abstractNum w:abstractNumId="14" w15:restartNumberingAfterBreak="0">
    <w:nsid w:val="7D2F42CA"/>
    <w:multiLevelType w:val="hybridMultilevel"/>
    <w:tmpl w:val="0A5E187A"/>
    <w:lvl w:ilvl="0" w:tplc="AF54C7EA">
      <w:start w:val="1"/>
      <w:numFmt w:val="bullet"/>
      <w:lvlText w:val=""/>
      <w:lvlJc w:val="left"/>
      <w:pPr>
        <w:ind w:left="1145" w:hanging="360"/>
      </w:pPr>
      <w:rPr>
        <w:rFonts w:ascii="Symbol" w:hAnsi="Symbol" w:hint="default"/>
      </w:rPr>
    </w:lvl>
    <w:lvl w:ilvl="1" w:tplc="04FE0666" w:tentative="1">
      <w:start w:val="1"/>
      <w:numFmt w:val="bullet"/>
      <w:lvlText w:val="o"/>
      <w:lvlJc w:val="left"/>
      <w:pPr>
        <w:ind w:left="1865" w:hanging="360"/>
      </w:pPr>
      <w:rPr>
        <w:rFonts w:ascii="Courier New" w:hAnsi="Courier New" w:cs="Courier New" w:hint="default"/>
      </w:rPr>
    </w:lvl>
    <w:lvl w:ilvl="2" w:tplc="E7F41B96" w:tentative="1">
      <w:start w:val="1"/>
      <w:numFmt w:val="bullet"/>
      <w:lvlText w:val=""/>
      <w:lvlJc w:val="left"/>
      <w:pPr>
        <w:ind w:left="2585" w:hanging="360"/>
      </w:pPr>
      <w:rPr>
        <w:rFonts w:ascii="Wingdings" w:hAnsi="Wingdings" w:hint="default"/>
      </w:rPr>
    </w:lvl>
    <w:lvl w:ilvl="3" w:tplc="C1404DDC" w:tentative="1">
      <w:start w:val="1"/>
      <w:numFmt w:val="bullet"/>
      <w:lvlText w:val=""/>
      <w:lvlJc w:val="left"/>
      <w:pPr>
        <w:ind w:left="3305" w:hanging="360"/>
      </w:pPr>
      <w:rPr>
        <w:rFonts w:ascii="Symbol" w:hAnsi="Symbol" w:hint="default"/>
      </w:rPr>
    </w:lvl>
    <w:lvl w:ilvl="4" w:tplc="68FA9B6A" w:tentative="1">
      <w:start w:val="1"/>
      <w:numFmt w:val="bullet"/>
      <w:lvlText w:val="o"/>
      <w:lvlJc w:val="left"/>
      <w:pPr>
        <w:ind w:left="4025" w:hanging="360"/>
      </w:pPr>
      <w:rPr>
        <w:rFonts w:ascii="Courier New" w:hAnsi="Courier New" w:cs="Courier New" w:hint="default"/>
      </w:rPr>
    </w:lvl>
    <w:lvl w:ilvl="5" w:tplc="D29415A2" w:tentative="1">
      <w:start w:val="1"/>
      <w:numFmt w:val="bullet"/>
      <w:lvlText w:val=""/>
      <w:lvlJc w:val="left"/>
      <w:pPr>
        <w:ind w:left="4745" w:hanging="360"/>
      </w:pPr>
      <w:rPr>
        <w:rFonts w:ascii="Wingdings" w:hAnsi="Wingdings" w:hint="default"/>
      </w:rPr>
    </w:lvl>
    <w:lvl w:ilvl="6" w:tplc="2D5A2FFA" w:tentative="1">
      <w:start w:val="1"/>
      <w:numFmt w:val="bullet"/>
      <w:lvlText w:val=""/>
      <w:lvlJc w:val="left"/>
      <w:pPr>
        <w:ind w:left="5465" w:hanging="360"/>
      </w:pPr>
      <w:rPr>
        <w:rFonts w:ascii="Symbol" w:hAnsi="Symbol" w:hint="default"/>
      </w:rPr>
    </w:lvl>
    <w:lvl w:ilvl="7" w:tplc="021088FA" w:tentative="1">
      <w:start w:val="1"/>
      <w:numFmt w:val="bullet"/>
      <w:lvlText w:val="o"/>
      <w:lvlJc w:val="left"/>
      <w:pPr>
        <w:ind w:left="6185" w:hanging="360"/>
      </w:pPr>
      <w:rPr>
        <w:rFonts w:ascii="Courier New" w:hAnsi="Courier New" w:cs="Courier New" w:hint="default"/>
      </w:rPr>
    </w:lvl>
    <w:lvl w:ilvl="8" w:tplc="5CDCFB00" w:tentative="1">
      <w:start w:val="1"/>
      <w:numFmt w:val="bullet"/>
      <w:lvlText w:val=""/>
      <w:lvlJc w:val="left"/>
      <w:pPr>
        <w:ind w:left="6905" w:hanging="360"/>
      </w:pPr>
      <w:rPr>
        <w:rFonts w:ascii="Wingdings" w:hAnsi="Wingdings" w:hint="default"/>
      </w:rPr>
    </w:lvl>
  </w:abstractNum>
  <w:num w:numId="1" w16cid:durableId="248316626">
    <w:abstractNumId w:val="8"/>
  </w:num>
  <w:num w:numId="2" w16cid:durableId="818378440">
    <w:abstractNumId w:val="13"/>
  </w:num>
  <w:num w:numId="3" w16cid:durableId="668096738">
    <w:abstractNumId w:val="0"/>
  </w:num>
  <w:num w:numId="4" w16cid:durableId="454719103">
    <w:abstractNumId w:val="4"/>
  </w:num>
  <w:num w:numId="5" w16cid:durableId="652414086">
    <w:abstractNumId w:val="1"/>
  </w:num>
  <w:num w:numId="6" w16cid:durableId="1955751131">
    <w:abstractNumId w:val="14"/>
  </w:num>
  <w:num w:numId="7" w16cid:durableId="1449542058">
    <w:abstractNumId w:val="3"/>
  </w:num>
  <w:num w:numId="8" w16cid:durableId="1517039108">
    <w:abstractNumId w:val="11"/>
  </w:num>
  <w:num w:numId="9" w16cid:durableId="706485354">
    <w:abstractNumId w:val="5"/>
  </w:num>
  <w:num w:numId="10" w16cid:durableId="133059448">
    <w:abstractNumId w:val="10"/>
  </w:num>
  <w:num w:numId="11" w16cid:durableId="867792051">
    <w:abstractNumId w:val="9"/>
  </w:num>
  <w:num w:numId="12" w16cid:durableId="1957833455">
    <w:abstractNumId w:val="6"/>
  </w:num>
  <w:num w:numId="13" w16cid:durableId="861744502">
    <w:abstractNumId w:val="12"/>
  </w:num>
  <w:num w:numId="14" w16cid:durableId="749081281">
    <w:abstractNumId w:val="7"/>
  </w:num>
  <w:num w:numId="15" w16cid:durableId="13623932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0F8"/>
    <w:rsid w:val="00000EDF"/>
    <w:rsid w:val="000025FE"/>
    <w:rsid w:val="000064FF"/>
    <w:rsid w:val="000068FE"/>
    <w:rsid w:val="00007BAC"/>
    <w:rsid w:val="00010C66"/>
    <w:rsid w:val="00010DC1"/>
    <w:rsid w:val="000147E1"/>
    <w:rsid w:val="00015C0F"/>
    <w:rsid w:val="00020DD2"/>
    <w:rsid w:val="0002137D"/>
    <w:rsid w:val="00023E20"/>
    <w:rsid w:val="00024B2B"/>
    <w:rsid w:val="0002797F"/>
    <w:rsid w:val="00027E2F"/>
    <w:rsid w:val="00027EAA"/>
    <w:rsid w:val="00032618"/>
    <w:rsid w:val="00032933"/>
    <w:rsid w:val="00040C91"/>
    <w:rsid w:val="00045391"/>
    <w:rsid w:val="00052449"/>
    <w:rsid w:val="00053C1C"/>
    <w:rsid w:val="00054F6B"/>
    <w:rsid w:val="0005637B"/>
    <w:rsid w:val="00056F1E"/>
    <w:rsid w:val="000602C9"/>
    <w:rsid w:val="00062769"/>
    <w:rsid w:val="000636B5"/>
    <w:rsid w:val="00065737"/>
    <w:rsid w:val="000671A3"/>
    <w:rsid w:val="000732D8"/>
    <w:rsid w:val="00073A4B"/>
    <w:rsid w:val="00074705"/>
    <w:rsid w:val="000748B9"/>
    <w:rsid w:val="00075C3D"/>
    <w:rsid w:val="0007665D"/>
    <w:rsid w:val="00080406"/>
    <w:rsid w:val="000806B4"/>
    <w:rsid w:val="00082065"/>
    <w:rsid w:val="00091504"/>
    <w:rsid w:val="00094001"/>
    <w:rsid w:val="000A10B4"/>
    <w:rsid w:val="000A2A8F"/>
    <w:rsid w:val="000A2A99"/>
    <w:rsid w:val="000A3486"/>
    <w:rsid w:val="000A3EFE"/>
    <w:rsid w:val="000A4631"/>
    <w:rsid w:val="000A46E4"/>
    <w:rsid w:val="000B0B9C"/>
    <w:rsid w:val="000B1EF2"/>
    <w:rsid w:val="000B63FD"/>
    <w:rsid w:val="000C2609"/>
    <w:rsid w:val="000C2A95"/>
    <w:rsid w:val="000C51FA"/>
    <w:rsid w:val="000C569E"/>
    <w:rsid w:val="000C63A1"/>
    <w:rsid w:val="000C7509"/>
    <w:rsid w:val="000D1308"/>
    <w:rsid w:val="000D16E7"/>
    <w:rsid w:val="000D32FC"/>
    <w:rsid w:val="000D5922"/>
    <w:rsid w:val="000D75EE"/>
    <w:rsid w:val="000D7C7F"/>
    <w:rsid w:val="000E084C"/>
    <w:rsid w:val="000E0BA7"/>
    <w:rsid w:val="000E22B6"/>
    <w:rsid w:val="000E28A2"/>
    <w:rsid w:val="000E2A00"/>
    <w:rsid w:val="000E67EA"/>
    <w:rsid w:val="000E68D9"/>
    <w:rsid w:val="000E6F52"/>
    <w:rsid w:val="000F07C8"/>
    <w:rsid w:val="000F285F"/>
    <w:rsid w:val="000F7AA4"/>
    <w:rsid w:val="001016DE"/>
    <w:rsid w:val="00102FD6"/>
    <w:rsid w:val="0010448F"/>
    <w:rsid w:val="00106BCF"/>
    <w:rsid w:val="001076F9"/>
    <w:rsid w:val="00111566"/>
    <w:rsid w:val="00111A2D"/>
    <w:rsid w:val="001141E1"/>
    <w:rsid w:val="00114311"/>
    <w:rsid w:val="00122987"/>
    <w:rsid w:val="00123447"/>
    <w:rsid w:val="0013042F"/>
    <w:rsid w:val="00131E6C"/>
    <w:rsid w:val="0013392A"/>
    <w:rsid w:val="00134E7A"/>
    <w:rsid w:val="001363DE"/>
    <w:rsid w:val="00136710"/>
    <w:rsid w:val="00141662"/>
    <w:rsid w:val="0014204D"/>
    <w:rsid w:val="00143FE7"/>
    <w:rsid w:val="00146AD6"/>
    <w:rsid w:val="00156219"/>
    <w:rsid w:val="001574CD"/>
    <w:rsid w:val="001625D4"/>
    <w:rsid w:val="00164ECF"/>
    <w:rsid w:val="0016583A"/>
    <w:rsid w:val="00165D96"/>
    <w:rsid w:val="00167D53"/>
    <w:rsid w:val="00171214"/>
    <w:rsid w:val="00171B90"/>
    <w:rsid w:val="001730E4"/>
    <w:rsid w:val="001777E8"/>
    <w:rsid w:val="0018103A"/>
    <w:rsid w:val="001812AC"/>
    <w:rsid w:val="00187043"/>
    <w:rsid w:val="001877A0"/>
    <w:rsid w:val="001908BA"/>
    <w:rsid w:val="001911EF"/>
    <w:rsid w:val="00194CBE"/>
    <w:rsid w:val="001A2ABA"/>
    <w:rsid w:val="001A2BD9"/>
    <w:rsid w:val="001A7C51"/>
    <w:rsid w:val="001B0B36"/>
    <w:rsid w:val="001B16B7"/>
    <w:rsid w:val="001B2A37"/>
    <w:rsid w:val="001B38A7"/>
    <w:rsid w:val="001B6F69"/>
    <w:rsid w:val="001C2D8E"/>
    <w:rsid w:val="001C3F64"/>
    <w:rsid w:val="001C4FFA"/>
    <w:rsid w:val="001C5C42"/>
    <w:rsid w:val="001C750C"/>
    <w:rsid w:val="001C7AFC"/>
    <w:rsid w:val="001D08AC"/>
    <w:rsid w:val="001D0D7F"/>
    <w:rsid w:val="001D111B"/>
    <w:rsid w:val="001D370D"/>
    <w:rsid w:val="001D37FB"/>
    <w:rsid w:val="001D3E44"/>
    <w:rsid w:val="001D40A8"/>
    <w:rsid w:val="001D53B3"/>
    <w:rsid w:val="001D62DE"/>
    <w:rsid w:val="001E0794"/>
    <w:rsid w:val="001E3181"/>
    <w:rsid w:val="001F1A14"/>
    <w:rsid w:val="001F2205"/>
    <w:rsid w:val="001F326C"/>
    <w:rsid w:val="001F333F"/>
    <w:rsid w:val="001F5EC4"/>
    <w:rsid w:val="001F6BB3"/>
    <w:rsid w:val="0020048A"/>
    <w:rsid w:val="0020095D"/>
    <w:rsid w:val="002012EE"/>
    <w:rsid w:val="002016C1"/>
    <w:rsid w:val="002050F8"/>
    <w:rsid w:val="00210A57"/>
    <w:rsid w:val="0021129A"/>
    <w:rsid w:val="00212513"/>
    <w:rsid w:val="00212534"/>
    <w:rsid w:val="0021648B"/>
    <w:rsid w:val="002205EC"/>
    <w:rsid w:val="00222527"/>
    <w:rsid w:val="0022303D"/>
    <w:rsid w:val="00223DC0"/>
    <w:rsid w:val="0022629A"/>
    <w:rsid w:val="00232E60"/>
    <w:rsid w:val="00233042"/>
    <w:rsid w:val="002339FF"/>
    <w:rsid w:val="002357A2"/>
    <w:rsid w:val="00236F1F"/>
    <w:rsid w:val="002374FE"/>
    <w:rsid w:val="00242188"/>
    <w:rsid w:val="00243990"/>
    <w:rsid w:val="00252D9D"/>
    <w:rsid w:val="002535DF"/>
    <w:rsid w:val="00253832"/>
    <w:rsid w:val="00256462"/>
    <w:rsid w:val="002565D3"/>
    <w:rsid w:val="00262A36"/>
    <w:rsid w:val="00262BAA"/>
    <w:rsid w:val="00263495"/>
    <w:rsid w:val="00263812"/>
    <w:rsid w:val="00263B6F"/>
    <w:rsid w:val="00275C9A"/>
    <w:rsid w:val="002846C7"/>
    <w:rsid w:val="0028497E"/>
    <w:rsid w:val="00285649"/>
    <w:rsid w:val="00286C5B"/>
    <w:rsid w:val="00291D6F"/>
    <w:rsid w:val="00291F2E"/>
    <w:rsid w:val="00292889"/>
    <w:rsid w:val="002941F9"/>
    <w:rsid w:val="002942E1"/>
    <w:rsid w:val="00294F9D"/>
    <w:rsid w:val="00295924"/>
    <w:rsid w:val="002A0BD8"/>
    <w:rsid w:val="002A1D66"/>
    <w:rsid w:val="002A3CB7"/>
    <w:rsid w:val="002A6EBA"/>
    <w:rsid w:val="002A6F98"/>
    <w:rsid w:val="002A7CD6"/>
    <w:rsid w:val="002B2B0B"/>
    <w:rsid w:val="002B453A"/>
    <w:rsid w:val="002B529A"/>
    <w:rsid w:val="002C049A"/>
    <w:rsid w:val="002C0DB6"/>
    <w:rsid w:val="002C13E8"/>
    <w:rsid w:val="002C438F"/>
    <w:rsid w:val="002C4B68"/>
    <w:rsid w:val="002D1BFC"/>
    <w:rsid w:val="002D1D68"/>
    <w:rsid w:val="002D2433"/>
    <w:rsid w:val="002D3573"/>
    <w:rsid w:val="002D417D"/>
    <w:rsid w:val="002D5E58"/>
    <w:rsid w:val="002D752A"/>
    <w:rsid w:val="002E0574"/>
    <w:rsid w:val="002E1389"/>
    <w:rsid w:val="002E3567"/>
    <w:rsid w:val="002E397A"/>
    <w:rsid w:val="002E397B"/>
    <w:rsid w:val="002E4A48"/>
    <w:rsid w:val="002F1B3F"/>
    <w:rsid w:val="002F3EA5"/>
    <w:rsid w:val="002F627C"/>
    <w:rsid w:val="002F777B"/>
    <w:rsid w:val="0030095D"/>
    <w:rsid w:val="003051FF"/>
    <w:rsid w:val="003055DA"/>
    <w:rsid w:val="00305CB7"/>
    <w:rsid w:val="00305DAE"/>
    <w:rsid w:val="00306D3A"/>
    <w:rsid w:val="003103C1"/>
    <w:rsid w:val="003116A0"/>
    <w:rsid w:val="003122AD"/>
    <w:rsid w:val="003125F7"/>
    <w:rsid w:val="003146C5"/>
    <w:rsid w:val="00314DEE"/>
    <w:rsid w:val="00317EA3"/>
    <w:rsid w:val="00320AA3"/>
    <w:rsid w:val="0032100F"/>
    <w:rsid w:val="00322773"/>
    <w:rsid w:val="003233D6"/>
    <w:rsid w:val="00323B5E"/>
    <w:rsid w:val="00324A91"/>
    <w:rsid w:val="00326DE2"/>
    <w:rsid w:val="00330476"/>
    <w:rsid w:val="003308ED"/>
    <w:rsid w:val="00331BA3"/>
    <w:rsid w:val="00332EDF"/>
    <w:rsid w:val="00333242"/>
    <w:rsid w:val="00334776"/>
    <w:rsid w:val="00334D1E"/>
    <w:rsid w:val="00336FE8"/>
    <w:rsid w:val="00337985"/>
    <w:rsid w:val="00337EBB"/>
    <w:rsid w:val="00341B51"/>
    <w:rsid w:val="00343646"/>
    <w:rsid w:val="00344AFD"/>
    <w:rsid w:val="00345731"/>
    <w:rsid w:val="00347E2A"/>
    <w:rsid w:val="003542F7"/>
    <w:rsid w:val="00354908"/>
    <w:rsid w:val="003559ED"/>
    <w:rsid w:val="00356B47"/>
    <w:rsid w:val="00357AFF"/>
    <w:rsid w:val="003608EA"/>
    <w:rsid w:val="003618D8"/>
    <w:rsid w:val="0036283A"/>
    <w:rsid w:val="0036298D"/>
    <w:rsid w:val="00364B09"/>
    <w:rsid w:val="0036700D"/>
    <w:rsid w:val="00367502"/>
    <w:rsid w:val="003703C0"/>
    <w:rsid w:val="00370F02"/>
    <w:rsid w:val="00371F59"/>
    <w:rsid w:val="00375D15"/>
    <w:rsid w:val="003761DF"/>
    <w:rsid w:val="00376978"/>
    <w:rsid w:val="00376AEE"/>
    <w:rsid w:val="00376DC4"/>
    <w:rsid w:val="003815F7"/>
    <w:rsid w:val="00383BEC"/>
    <w:rsid w:val="00383C78"/>
    <w:rsid w:val="00385500"/>
    <w:rsid w:val="00390A45"/>
    <w:rsid w:val="003921AC"/>
    <w:rsid w:val="00392D53"/>
    <w:rsid w:val="003932AF"/>
    <w:rsid w:val="00394A0A"/>
    <w:rsid w:val="0039550A"/>
    <w:rsid w:val="003A0750"/>
    <w:rsid w:val="003A1821"/>
    <w:rsid w:val="003A1A3B"/>
    <w:rsid w:val="003A362A"/>
    <w:rsid w:val="003A3B77"/>
    <w:rsid w:val="003A7958"/>
    <w:rsid w:val="003B01C0"/>
    <w:rsid w:val="003B0885"/>
    <w:rsid w:val="003B1CB3"/>
    <w:rsid w:val="003B2CED"/>
    <w:rsid w:val="003B3294"/>
    <w:rsid w:val="003B35E0"/>
    <w:rsid w:val="003B553E"/>
    <w:rsid w:val="003C0795"/>
    <w:rsid w:val="003C0A1C"/>
    <w:rsid w:val="003C18BA"/>
    <w:rsid w:val="003C24E3"/>
    <w:rsid w:val="003C41D4"/>
    <w:rsid w:val="003C4F1E"/>
    <w:rsid w:val="003C70DC"/>
    <w:rsid w:val="003D18AE"/>
    <w:rsid w:val="003D2065"/>
    <w:rsid w:val="003D20DC"/>
    <w:rsid w:val="003D2AC5"/>
    <w:rsid w:val="003D7955"/>
    <w:rsid w:val="003D7972"/>
    <w:rsid w:val="003E1052"/>
    <w:rsid w:val="003E188D"/>
    <w:rsid w:val="003E2317"/>
    <w:rsid w:val="003E3B9B"/>
    <w:rsid w:val="003E4885"/>
    <w:rsid w:val="003E54FE"/>
    <w:rsid w:val="003E57DA"/>
    <w:rsid w:val="003E5E30"/>
    <w:rsid w:val="003F36D9"/>
    <w:rsid w:val="003F3EF7"/>
    <w:rsid w:val="003F5086"/>
    <w:rsid w:val="003F71A7"/>
    <w:rsid w:val="003FCBDF"/>
    <w:rsid w:val="00405425"/>
    <w:rsid w:val="0040570C"/>
    <w:rsid w:val="00406A6B"/>
    <w:rsid w:val="004132C7"/>
    <w:rsid w:val="0041535D"/>
    <w:rsid w:val="0041538D"/>
    <w:rsid w:val="00420612"/>
    <w:rsid w:val="004208DA"/>
    <w:rsid w:val="00420DC9"/>
    <w:rsid w:val="0042177E"/>
    <w:rsid w:val="00424C86"/>
    <w:rsid w:val="00425818"/>
    <w:rsid w:val="00426C26"/>
    <w:rsid w:val="00430033"/>
    <w:rsid w:val="00431843"/>
    <w:rsid w:val="0043458F"/>
    <w:rsid w:val="00434811"/>
    <w:rsid w:val="00436D65"/>
    <w:rsid w:val="004417F0"/>
    <w:rsid w:val="00442818"/>
    <w:rsid w:val="0044371A"/>
    <w:rsid w:val="004449F3"/>
    <w:rsid w:val="00444EEA"/>
    <w:rsid w:val="00446642"/>
    <w:rsid w:val="00446E0B"/>
    <w:rsid w:val="004471C3"/>
    <w:rsid w:val="0045209D"/>
    <w:rsid w:val="00455697"/>
    <w:rsid w:val="00460571"/>
    <w:rsid w:val="004617C7"/>
    <w:rsid w:val="00461A9D"/>
    <w:rsid w:val="00462482"/>
    <w:rsid w:val="004658F0"/>
    <w:rsid w:val="00465E41"/>
    <w:rsid w:val="004708F0"/>
    <w:rsid w:val="0047387A"/>
    <w:rsid w:val="00473C75"/>
    <w:rsid w:val="00477109"/>
    <w:rsid w:val="00492306"/>
    <w:rsid w:val="004958A3"/>
    <w:rsid w:val="004A12DA"/>
    <w:rsid w:val="004A7A42"/>
    <w:rsid w:val="004B446E"/>
    <w:rsid w:val="004B7F89"/>
    <w:rsid w:val="004C0C9C"/>
    <w:rsid w:val="004C24B4"/>
    <w:rsid w:val="004C5D8D"/>
    <w:rsid w:val="004C63E0"/>
    <w:rsid w:val="004C6DCF"/>
    <w:rsid w:val="004D0EA4"/>
    <w:rsid w:val="004D1277"/>
    <w:rsid w:val="004D6023"/>
    <w:rsid w:val="004E24DC"/>
    <w:rsid w:val="004E2954"/>
    <w:rsid w:val="004E4D98"/>
    <w:rsid w:val="004E7885"/>
    <w:rsid w:val="004E7DBC"/>
    <w:rsid w:val="004F0934"/>
    <w:rsid w:val="004F334E"/>
    <w:rsid w:val="005013A6"/>
    <w:rsid w:val="005021C3"/>
    <w:rsid w:val="00502E58"/>
    <w:rsid w:val="00507B11"/>
    <w:rsid w:val="00513EF0"/>
    <w:rsid w:val="0051405A"/>
    <w:rsid w:val="005157D0"/>
    <w:rsid w:val="00517A9A"/>
    <w:rsid w:val="0052048A"/>
    <w:rsid w:val="00520A22"/>
    <w:rsid w:val="005215AD"/>
    <w:rsid w:val="00522928"/>
    <w:rsid w:val="00523953"/>
    <w:rsid w:val="00524F56"/>
    <w:rsid w:val="005255FD"/>
    <w:rsid w:val="00530439"/>
    <w:rsid w:val="00534525"/>
    <w:rsid w:val="0053792C"/>
    <w:rsid w:val="00542BD5"/>
    <w:rsid w:val="00542C98"/>
    <w:rsid w:val="00543267"/>
    <w:rsid w:val="00545922"/>
    <w:rsid w:val="00546CDF"/>
    <w:rsid w:val="0054763C"/>
    <w:rsid w:val="005523F3"/>
    <w:rsid w:val="00552878"/>
    <w:rsid w:val="00552CBE"/>
    <w:rsid w:val="00554225"/>
    <w:rsid w:val="005555E6"/>
    <w:rsid w:val="00555FA4"/>
    <w:rsid w:val="0056263A"/>
    <w:rsid w:val="00563164"/>
    <w:rsid w:val="00564309"/>
    <w:rsid w:val="0056557F"/>
    <w:rsid w:val="00565E3E"/>
    <w:rsid w:val="00575508"/>
    <w:rsid w:val="005769BF"/>
    <w:rsid w:val="00576F1F"/>
    <w:rsid w:val="0058287A"/>
    <w:rsid w:val="00583025"/>
    <w:rsid w:val="00583225"/>
    <w:rsid w:val="005858ED"/>
    <w:rsid w:val="00591489"/>
    <w:rsid w:val="005919CB"/>
    <w:rsid w:val="00595C9B"/>
    <w:rsid w:val="005962EE"/>
    <w:rsid w:val="005974D1"/>
    <w:rsid w:val="005A192E"/>
    <w:rsid w:val="005A22F8"/>
    <w:rsid w:val="005A3C3B"/>
    <w:rsid w:val="005A48A7"/>
    <w:rsid w:val="005A4B8A"/>
    <w:rsid w:val="005A52F3"/>
    <w:rsid w:val="005A5CF4"/>
    <w:rsid w:val="005A773B"/>
    <w:rsid w:val="005B2380"/>
    <w:rsid w:val="005B3DD4"/>
    <w:rsid w:val="005B5734"/>
    <w:rsid w:val="005B6F83"/>
    <w:rsid w:val="005C14D0"/>
    <w:rsid w:val="005C1B2C"/>
    <w:rsid w:val="005C71AB"/>
    <w:rsid w:val="005C7EEA"/>
    <w:rsid w:val="005D0A10"/>
    <w:rsid w:val="005D3731"/>
    <w:rsid w:val="005D39BE"/>
    <w:rsid w:val="005D52E9"/>
    <w:rsid w:val="005D583A"/>
    <w:rsid w:val="005D64BD"/>
    <w:rsid w:val="005D6A79"/>
    <w:rsid w:val="005E1B94"/>
    <w:rsid w:val="005E4737"/>
    <w:rsid w:val="005E5304"/>
    <w:rsid w:val="005E6B86"/>
    <w:rsid w:val="005F13E8"/>
    <w:rsid w:val="005F2C54"/>
    <w:rsid w:val="005F2C9A"/>
    <w:rsid w:val="005F3BCF"/>
    <w:rsid w:val="005F5A31"/>
    <w:rsid w:val="00600D94"/>
    <w:rsid w:val="006013A0"/>
    <w:rsid w:val="006041EC"/>
    <w:rsid w:val="0060691D"/>
    <w:rsid w:val="006122BC"/>
    <w:rsid w:val="00613678"/>
    <w:rsid w:val="00616408"/>
    <w:rsid w:val="006176BF"/>
    <w:rsid w:val="00617AF2"/>
    <w:rsid w:val="006221FF"/>
    <w:rsid w:val="0064289A"/>
    <w:rsid w:val="00644EDC"/>
    <w:rsid w:val="0064604D"/>
    <w:rsid w:val="0065161B"/>
    <w:rsid w:val="00662C5B"/>
    <w:rsid w:val="00664FD4"/>
    <w:rsid w:val="00666655"/>
    <w:rsid w:val="00667209"/>
    <w:rsid w:val="00670C07"/>
    <w:rsid w:val="00675111"/>
    <w:rsid w:val="0067624A"/>
    <w:rsid w:val="006777CB"/>
    <w:rsid w:val="00680468"/>
    <w:rsid w:val="00683666"/>
    <w:rsid w:val="006853D1"/>
    <w:rsid w:val="00686A8F"/>
    <w:rsid w:val="00686AC1"/>
    <w:rsid w:val="00691074"/>
    <w:rsid w:val="00691530"/>
    <w:rsid w:val="006932EF"/>
    <w:rsid w:val="00693504"/>
    <w:rsid w:val="006938F0"/>
    <w:rsid w:val="00694BD0"/>
    <w:rsid w:val="006959EE"/>
    <w:rsid w:val="00697B8D"/>
    <w:rsid w:val="00697DB8"/>
    <w:rsid w:val="006A141C"/>
    <w:rsid w:val="006A4D6C"/>
    <w:rsid w:val="006B0948"/>
    <w:rsid w:val="006B1648"/>
    <w:rsid w:val="006B1840"/>
    <w:rsid w:val="006B7878"/>
    <w:rsid w:val="006C0285"/>
    <w:rsid w:val="006C0407"/>
    <w:rsid w:val="006C123D"/>
    <w:rsid w:val="006C580B"/>
    <w:rsid w:val="006D05CC"/>
    <w:rsid w:val="006D0CF6"/>
    <w:rsid w:val="006D1567"/>
    <w:rsid w:val="006D4D9B"/>
    <w:rsid w:val="006D5FDB"/>
    <w:rsid w:val="006D62F5"/>
    <w:rsid w:val="006E0757"/>
    <w:rsid w:val="006E218D"/>
    <w:rsid w:val="006E220E"/>
    <w:rsid w:val="006E28EB"/>
    <w:rsid w:val="006E393E"/>
    <w:rsid w:val="006E571B"/>
    <w:rsid w:val="006F1F1E"/>
    <w:rsid w:val="006F538F"/>
    <w:rsid w:val="00700F7D"/>
    <w:rsid w:val="007010A7"/>
    <w:rsid w:val="007075EE"/>
    <w:rsid w:val="00707DAA"/>
    <w:rsid w:val="00711E18"/>
    <w:rsid w:val="007120E5"/>
    <w:rsid w:val="00713E16"/>
    <w:rsid w:val="0071531F"/>
    <w:rsid w:val="007205E8"/>
    <w:rsid w:val="00720662"/>
    <w:rsid w:val="00720EB8"/>
    <w:rsid w:val="007221DF"/>
    <w:rsid w:val="00722573"/>
    <w:rsid w:val="0072633A"/>
    <w:rsid w:val="00732D43"/>
    <w:rsid w:val="007337D1"/>
    <w:rsid w:val="00733ADE"/>
    <w:rsid w:val="00735164"/>
    <w:rsid w:val="00737781"/>
    <w:rsid w:val="00740F01"/>
    <w:rsid w:val="007421F6"/>
    <w:rsid w:val="0074221B"/>
    <w:rsid w:val="00742701"/>
    <w:rsid w:val="00744578"/>
    <w:rsid w:val="00745352"/>
    <w:rsid w:val="0075180F"/>
    <w:rsid w:val="00752C93"/>
    <w:rsid w:val="0075663A"/>
    <w:rsid w:val="00756739"/>
    <w:rsid w:val="00756D20"/>
    <w:rsid w:val="00757921"/>
    <w:rsid w:val="00757B07"/>
    <w:rsid w:val="00761D27"/>
    <w:rsid w:val="007633F8"/>
    <w:rsid w:val="00763ADD"/>
    <w:rsid w:val="00763C45"/>
    <w:rsid w:val="00764702"/>
    <w:rsid w:val="00772183"/>
    <w:rsid w:val="00772374"/>
    <w:rsid w:val="007740FC"/>
    <w:rsid w:val="0077694E"/>
    <w:rsid w:val="0077779B"/>
    <w:rsid w:val="00780B36"/>
    <w:rsid w:val="007818CF"/>
    <w:rsid w:val="00783397"/>
    <w:rsid w:val="007863FD"/>
    <w:rsid w:val="00786EBD"/>
    <w:rsid w:val="00790BA2"/>
    <w:rsid w:val="0079125E"/>
    <w:rsid w:val="00793CEA"/>
    <w:rsid w:val="007A13D5"/>
    <w:rsid w:val="007A5F36"/>
    <w:rsid w:val="007A612C"/>
    <w:rsid w:val="007A61B8"/>
    <w:rsid w:val="007A70AC"/>
    <w:rsid w:val="007B1D16"/>
    <w:rsid w:val="007B548E"/>
    <w:rsid w:val="007B6DD1"/>
    <w:rsid w:val="007C5568"/>
    <w:rsid w:val="007C5E36"/>
    <w:rsid w:val="007D009F"/>
    <w:rsid w:val="007D0DAF"/>
    <w:rsid w:val="007D26C1"/>
    <w:rsid w:val="007D4239"/>
    <w:rsid w:val="007D5C73"/>
    <w:rsid w:val="007E4CA6"/>
    <w:rsid w:val="007E545C"/>
    <w:rsid w:val="007E5DBC"/>
    <w:rsid w:val="007E60DC"/>
    <w:rsid w:val="007E6653"/>
    <w:rsid w:val="007E6DEC"/>
    <w:rsid w:val="007F3B15"/>
    <w:rsid w:val="007F61AB"/>
    <w:rsid w:val="00801A32"/>
    <w:rsid w:val="00806F1F"/>
    <w:rsid w:val="00810E58"/>
    <w:rsid w:val="00811E81"/>
    <w:rsid w:val="00811EF8"/>
    <w:rsid w:val="0081379B"/>
    <w:rsid w:val="00814B41"/>
    <w:rsid w:val="00817DCF"/>
    <w:rsid w:val="00820558"/>
    <w:rsid w:val="00821A54"/>
    <w:rsid w:val="00821EAA"/>
    <w:rsid w:val="00824258"/>
    <w:rsid w:val="0082466E"/>
    <w:rsid w:val="00824D26"/>
    <w:rsid w:val="00825CA2"/>
    <w:rsid w:val="00826ABD"/>
    <w:rsid w:val="00827880"/>
    <w:rsid w:val="00831035"/>
    <w:rsid w:val="008361EC"/>
    <w:rsid w:val="008367A0"/>
    <w:rsid w:val="00837B30"/>
    <w:rsid w:val="00840D56"/>
    <w:rsid w:val="00841478"/>
    <w:rsid w:val="0084322B"/>
    <w:rsid w:val="008445AA"/>
    <w:rsid w:val="0084477B"/>
    <w:rsid w:val="00846F0F"/>
    <w:rsid w:val="00847CAA"/>
    <w:rsid w:val="008505F5"/>
    <w:rsid w:val="00861E13"/>
    <w:rsid w:val="00864132"/>
    <w:rsid w:val="0087173B"/>
    <w:rsid w:val="00872233"/>
    <w:rsid w:val="008729C5"/>
    <w:rsid w:val="0087577A"/>
    <w:rsid w:val="00876708"/>
    <w:rsid w:val="008801CD"/>
    <w:rsid w:val="00881C44"/>
    <w:rsid w:val="00885F39"/>
    <w:rsid w:val="00891F94"/>
    <w:rsid w:val="00892F80"/>
    <w:rsid w:val="008947DF"/>
    <w:rsid w:val="00894976"/>
    <w:rsid w:val="0089729F"/>
    <w:rsid w:val="008979D1"/>
    <w:rsid w:val="00897ED9"/>
    <w:rsid w:val="008A13CE"/>
    <w:rsid w:val="008A1F58"/>
    <w:rsid w:val="008A2108"/>
    <w:rsid w:val="008A4C77"/>
    <w:rsid w:val="008A60CF"/>
    <w:rsid w:val="008A7714"/>
    <w:rsid w:val="008B1F1D"/>
    <w:rsid w:val="008B3F2F"/>
    <w:rsid w:val="008B5CAB"/>
    <w:rsid w:val="008B68D4"/>
    <w:rsid w:val="008B6E0D"/>
    <w:rsid w:val="008B7242"/>
    <w:rsid w:val="008C030E"/>
    <w:rsid w:val="008C1283"/>
    <w:rsid w:val="008C55C5"/>
    <w:rsid w:val="008C63AA"/>
    <w:rsid w:val="008C6E7F"/>
    <w:rsid w:val="008C7EE8"/>
    <w:rsid w:val="008D107A"/>
    <w:rsid w:val="008D20B7"/>
    <w:rsid w:val="008D2608"/>
    <w:rsid w:val="008D5F91"/>
    <w:rsid w:val="008D6D62"/>
    <w:rsid w:val="008F24A5"/>
    <w:rsid w:val="008F7913"/>
    <w:rsid w:val="00906628"/>
    <w:rsid w:val="00907846"/>
    <w:rsid w:val="00907EB6"/>
    <w:rsid w:val="00912626"/>
    <w:rsid w:val="00914857"/>
    <w:rsid w:val="00916420"/>
    <w:rsid w:val="00917BD7"/>
    <w:rsid w:val="00917FD7"/>
    <w:rsid w:val="00920770"/>
    <w:rsid w:val="00922F4A"/>
    <w:rsid w:val="00925A63"/>
    <w:rsid w:val="009267B8"/>
    <w:rsid w:val="009271DE"/>
    <w:rsid w:val="00927422"/>
    <w:rsid w:val="00931C57"/>
    <w:rsid w:val="00933BC2"/>
    <w:rsid w:val="00935B77"/>
    <w:rsid w:val="00935B87"/>
    <w:rsid w:val="00947EC5"/>
    <w:rsid w:val="0095065D"/>
    <w:rsid w:val="0095294D"/>
    <w:rsid w:val="00954404"/>
    <w:rsid w:val="009549A8"/>
    <w:rsid w:val="00960955"/>
    <w:rsid w:val="00961133"/>
    <w:rsid w:val="0096398E"/>
    <w:rsid w:val="009656FB"/>
    <w:rsid w:val="00966C0F"/>
    <w:rsid w:val="00971C57"/>
    <w:rsid w:val="009726C4"/>
    <w:rsid w:val="009734C4"/>
    <w:rsid w:val="00974406"/>
    <w:rsid w:val="00974425"/>
    <w:rsid w:val="009754AC"/>
    <w:rsid w:val="009837E5"/>
    <w:rsid w:val="009847F4"/>
    <w:rsid w:val="009848DA"/>
    <w:rsid w:val="00991B52"/>
    <w:rsid w:val="00991BEE"/>
    <w:rsid w:val="0099324E"/>
    <w:rsid w:val="00996062"/>
    <w:rsid w:val="009A007F"/>
    <w:rsid w:val="009A090C"/>
    <w:rsid w:val="009A1383"/>
    <w:rsid w:val="009A2552"/>
    <w:rsid w:val="009A2962"/>
    <w:rsid w:val="009A31D1"/>
    <w:rsid w:val="009A520F"/>
    <w:rsid w:val="009B2316"/>
    <w:rsid w:val="009B4271"/>
    <w:rsid w:val="009B5B76"/>
    <w:rsid w:val="009B6266"/>
    <w:rsid w:val="009B6E3B"/>
    <w:rsid w:val="009C238F"/>
    <w:rsid w:val="009C698A"/>
    <w:rsid w:val="009C6F69"/>
    <w:rsid w:val="009D07B3"/>
    <w:rsid w:val="009D0C55"/>
    <w:rsid w:val="009D0D92"/>
    <w:rsid w:val="009D1343"/>
    <w:rsid w:val="009D1467"/>
    <w:rsid w:val="009D20DB"/>
    <w:rsid w:val="009D3104"/>
    <w:rsid w:val="009D3A83"/>
    <w:rsid w:val="009D563A"/>
    <w:rsid w:val="009D5719"/>
    <w:rsid w:val="009D72C8"/>
    <w:rsid w:val="009D76CB"/>
    <w:rsid w:val="009E060A"/>
    <w:rsid w:val="009E489A"/>
    <w:rsid w:val="009E4C86"/>
    <w:rsid w:val="009E5935"/>
    <w:rsid w:val="009E5EEC"/>
    <w:rsid w:val="009E71F3"/>
    <w:rsid w:val="009E72B0"/>
    <w:rsid w:val="009E76A8"/>
    <w:rsid w:val="009F10F5"/>
    <w:rsid w:val="009F3FCC"/>
    <w:rsid w:val="009F47EF"/>
    <w:rsid w:val="009F5738"/>
    <w:rsid w:val="00A0181D"/>
    <w:rsid w:val="00A0347A"/>
    <w:rsid w:val="00A06879"/>
    <w:rsid w:val="00A1161D"/>
    <w:rsid w:val="00A1174B"/>
    <w:rsid w:val="00A149A0"/>
    <w:rsid w:val="00A156EF"/>
    <w:rsid w:val="00A224D4"/>
    <w:rsid w:val="00A25FAA"/>
    <w:rsid w:val="00A262E7"/>
    <w:rsid w:val="00A268EA"/>
    <w:rsid w:val="00A306A2"/>
    <w:rsid w:val="00A317EC"/>
    <w:rsid w:val="00A34437"/>
    <w:rsid w:val="00A37A7F"/>
    <w:rsid w:val="00A4137C"/>
    <w:rsid w:val="00A42E77"/>
    <w:rsid w:val="00A44477"/>
    <w:rsid w:val="00A47370"/>
    <w:rsid w:val="00A5108E"/>
    <w:rsid w:val="00A522FD"/>
    <w:rsid w:val="00A559C9"/>
    <w:rsid w:val="00A559EE"/>
    <w:rsid w:val="00A55DA1"/>
    <w:rsid w:val="00A5791B"/>
    <w:rsid w:val="00A6003D"/>
    <w:rsid w:val="00A609C2"/>
    <w:rsid w:val="00A61453"/>
    <w:rsid w:val="00A63239"/>
    <w:rsid w:val="00A651C4"/>
    <w:rsid w:val="00A67699"/>
    <w:rsid w:val="00A749B0"/>
    <w:rsid w:val="00A769C0"/>
    <w:rsid w:val="00A873DD"/>
    <w:rsid w:val="00A87E91"/>
    <w:rsid w:val="00A90CB4"/>
    <w:rsid w:val="00A92324"/>
    <w:rsid w:val="00A93B2C"/>
    <w:rsid w:val="00A94FE4"/>
    <w:rsid w:val="00A96D45"/>
    <w:rsid w:val="00A97124"/>
    <w:rsid w:val="00AA082E"/>
    <w:rsid w:val="00AA125F"/>
    <w:rsid w:val="00AA36F4"/>
    <w:rsid w:val="00AA6025"/>
    <w:rsid w:val="00AA7273"/>
    <w:rsid w:val="00AB015E"/>
    <w:rsid w:val="00AB06EC"/>
    <w:rsid w:val="00AB25D9"/>
    <w:rsid w:val="00AB2AAA"/>
    <w:rsid w:val="00AB2C6E"/>
    <w:rsid w:val="00AB432A"/>
    <w:rsid w:val="00AB4533"/>
    <w:rsid w:val="00AB69AA"/>
    <w:rsid w:val="00AC072D"/>
    <w:rsid w:val="00AC1992"/>
    <w:rsid w:val="00AC3EB5"/>
    <w:rsid w:val="00AC4EE3"/>
    <w:rsid w:val="00AC6A00"/>
    <w:rsid w:val="00AC794C"/>
    <w:rsid w:val="00AC7FD0"/>
    <w:rsid w:val="00AD1181"/>
    <w:rsid w:val="00AD16B8"/>
    <w:rsid w:val="00AD16CB"/>
    <w:rsid w:val="00AD5C12"/>
    <w:rsid w:val="00AD6470"/>
    <w:rsid w:val="00AD77CA"/>
    <w:rsid w:val="00AD7A23"/>
    <w:rsid w:val="00AE3D8A"/>
    <w:rsid w:val="00AE5684"/>
    <w:rsid w:val="00AE609A"/>
    <w:rsid w:val="00AE735B"/>
    <w:rsid w:val="00AF108E"/>
    <w:rsid w:val="00AF2209"/>
    <w:rsid w:val="00AF2F57"/>
    <w:rsid w:val="00AF358D"/>
    <w:rsid w:val="00AF3898"/>
    <w:rsid w:val="00AF5A57"/>
    <w:rsid w:val="00AF7A8B"/>
    <w:rsid w:val="00B03E1A"/>
    <w:rsid w:val="00B04B92"/>
    <w:rsid w:val="00B07CE7"/>
    <w:rsid w:val="00B11534"/>
    <w:rsid w:val="00B1233A"/>
    <w:rsid w:val="00B2128B"/>
    <w:rsid w:val="00B23E64"/>
    <w:rsid w:val="00B23E7E"/>
    <w:rsid w:val="00B243DD"/>
    <w:rsid w:val="00B24B4E"/>
    <w:rsid w:val="00B25CEA"/>
    <w:rsid w:val="00B34E28"/>
    <w:rsid w:val="00B3511D"/>
    <w:rsid w:val="00B370C1"/>
    <w:rsid w:val="00B37684"/>
    <w:rsid w:val="00B4763E"/>
    <w:rsid w:val="00B47F06"/>
    <w:rsid w:val="00B50E49"/>
    <w:rsid w:val="00B52047"/>
    <w:rsid w:val="00B52497"/>
    <w:rsid w:val="00B532B9"/>
    <w:rsid w:val="00B57C76"/>
    <w:rsid w:val="00B624B6"/>
    <w:rsid w:val="00B632E5"/>
    <w:rsid w:val="00B6513A"/>
    <w:rsid w:val="00B657E8"/>
    <w:rsid w:val="00B67734"/>
    <w:rsid w:val="00B737E5"/>
    <w:rsid w:val="00B7691C"/>
    <w:rsid w:val="00B76E8C"/>
    <w:rsid w:val="00B77E56"/>
    <w:rsid w:val="00B80848"/>
    <w:rsid w:val="00B81BAF"/>
    <w:rsid w:val="00B8407C"/>
    <w:rsid w:val="00B862AC"/>
    <w:rsid w:val="00B87455"/>
    <w:rsid w:val="00B9137F"/>
    <w:rsid w:val="00B94EE5"/>
    <w:rsid w:val="00B97D97"/>
    <w:rsid w:val="00BA621B"/>
    <w:rsid w:val="00BA6E3D"/>
    <w:rsid w:val="00BA6FA8"/>
    <w:rsid w:val="00BA9057"/>
    <w:rsid w:val="00BB0415"/>
    <w:rsid w:val="00BB18C0"/>
    <w:rsid w:val="00BB6033"/>
    <w:rsid w:val="00BB67CA"/>
    <w:rsid w:val="00BB97A4"/>
    <w:rsid w:val="00BC2C72"/>
    <w:rsid w:val="00BC36D4"/>
    <w:rsid w:val="00BD0DB6"/>
    <w:rsid w:val="00BD10FE"/>
    <w:rsid w:val="00BD12B6"/>
    <w:rsid w:val="00BD2518"/>
    <w:rsid w:val="00BE0655"/>
    <w:rsid w:val="00BE07D5"/>
    <w:rsid w:val="00BE1AAA"/>
    <w:rsid w:val="00BE1F4C"/>
    <w:rsid w:val="00BE4560"/>
    <w:rsid w:val="00BE6597"/>
    <w:rsid w:val="00BF4D0F"/>
    <w:rsid w:val="00BF5076"/>
    <w:rsid w:val="00BF57C7"/>
    <w:rsid w:val="00BF5A83"/>
    <w:rsid w:val="00C02DE0"/>
    <w:rsid w:val="00C04987"/>
    <w:rsid w:val="00C059A9"/>
    <w:rsid w:val="00C06120"/>
    <w:rsid w:val="00C12F3D"/>
    <w:rsid w:val="00C13C1C"/>
    <w:rsid w:val="00C14F96"/>
    <w:rsid w:val="00C169AC"/>
    <w:rsid w:val="00C20492"/>
    <w:rsid w:val="00C204B2"/>
    <w:rsid w:val="00C20C43"/>
    <w:rsid w:val="00C21907"/>
    <w:rsid w:val="00C22546"/>
    <w:rsid w:val="00C229A0"/>
    <w:rsid w:val="00C25AFE"/>
    <w:rsid w:val="00C25DC2"/>
    <w:rsid w:val="00C27C41"/>
    <w:rsid w:val="00C36049"/>
    <w:rsid w:val="00C4086B"/>
    <w:rsid w:val="00C460ED"/>
    <w:rsid w:val="00C5134E"/>
    <w:rsid w:val="00C51A0B"/>
    <w:rsid w:val="00C54DE3"/>
    <w:rsid w:val="00C6007C"/>
    <w:rsid w:val="00C64806"/>
    <w:rsid w:val="00C67F10"/>
    <w:rsid w:val="00C7055A"/>
    <w:rsid w:val="00C721BC"/>
    <w:rsid w:val="00C72375"/>
    <w:rsid w:val="00C727D4"/>
    <w:rsid w:val="00C7466E"/>
    <w:rsid w:val="00C7682E"/>
    <w:rsid w:val="00C77699"/>
    <w:rsid w:val="00C81511"/>
    <w:rsid w:val="00C84BB3"/>
    <w:rsid w:val="00C85A9A"/>
    <w:rsid w:val="00C87016"/>
    <w:rsid w:val="00C919CB"/>
    <w:rsid w:val="00C9329B"/>
    <w:rsid w:val="00C93B6A"/>
    <w:rsid w:val="00C979ED"/>
    <w:rsid w:val="00CA02F9"/>
    <w:rsid w:val="00CA20CB"/>
    <w:rsid w:val="00CA5AC2"/>
    <w:rsid w:val="00CA612D"/>
    <w:rsid w:val="00CA7992"/>
    <w:rsid w:val="00CA7B9E"/>
    <w:rsid w:val="00CB2698"/>
    <w:rsid w:val="00CB3166"/>
    <w:rsid w:val="00CB58CA"/>
    <w:rsid w:val="00CB6A49"/>
    <w:rsid w:val="00CB6E21"/>
    <w:rsid w:val="00CB6E24"/>
    <w:rsid w:val="00CC0C79"/>
    <w:rsid w:val="00CC3077"/>
    <w:rsid w:val="00CC35D9"/>
    <w:rsid w:val="00CC37F8"/>
    <w:rsid w:val="00CC4999"/>
    <w:rsid w:val="00CC54A4"/>
    <w:rsid w:val="00CD2379"/>
    <w:rsid w:val="00CD25D9"/>
    <w:rsid w:val="00CD44DA"/>
    <w:rsid w:val="00CE0407"/>
    <w:rsid w:val="00CE0BC2"/>
    <w:rsid w:val="00CE0FDD"/>
    <w:rsid w:val="00CE55F9"/>
    <w:rsid w:val="00CE755B"/>
    <w:rsid w:val="00CF32BC"/>
    <w:rsid w:val="00CF3DD6"/>
    <w:rsid w:val="00CF4BEE"/>
    <w:rsid w:val="00CF5CE2"/>
    <w:rsid w:val="00CF5DBB"/>
    <w:rsid w:val="00CF616D"/>
    <w:rsid w:val="00CF6B76"/>
    <w:rsid w:val="00CF7EDF"/>
    <w:rsid w:val="00CFE104"/>
    <w:rsid w:val="00D03B71"/>
    <w:rsid w:val="00D0507C"/>
    <w:rsid w:val="00D06C17"/>
    <w:rsid w:val="00D150F8"/>
    <w:rsid w:val="00D21DA7"/>
    <w:rsid w:val="00D230C6"/>
    <w:rsid w:val="00D2477C"/>
    <w:rsid w:val="00D24872"/>
    <w:rsid w:val="00D256CA"/>
    <w:rsid w:val="00D25EE8"/>
    <w:rsid w:val="00D26883"/>
    <w:rsid w:val="00D275F9"/>
    <w:rsid w:val="00D30324"/>
    <w:rsid w:val="00D31E7B"/>
    <w:rsid w:val="00D32404"/>
    <w:rsid w:val="00D347A3"/>
    <w:rsid w:val="00D34B38"/>
    <w:rsid w:val="00D40A89"/>
    <w:rsid w:val="00D4141C"/>
    <w:rsid w:val="00D4365C"/>
    <w:rsid w:val="00D44391"/>
    <w:rsid w:val="00D47C25"/>
    <w:rsid w:val="00D50087"/>
    <w:rsid w:val="00D5162B"/>
    <w:rsid w:val="00D539BA"/>
    <w:rsid w:val="00D551CC"/>
    <w:rsid w:val="00D55B31"/>
    <w:rsid w:val="00D57183"/>
    <w:rsid w:val="00D60A23"/>
    <w:rsid w:val="00D61F86"/>
    <w:rsid w:val="00D63CBB"/>
    <w:rsid w:val="00D67094"/>
    <w:rsid w:val="00D70815"/>
    <w:rsid w:val="00D73F8D"/>
    <w:rsid w:val="00D74459"/>
    <w:rsid w:val="00D74E44"/>
    <w:rsid w:val="00D751BE"/>
    <w:rsid w:val="00D75B41"/>
    <w:rsid w:val="00D809A3"/>
    <w:rsid w:val="00D85836"/>
    <w:rsid w:val="00D8756B"/>
    <w:rsid w:val="00D8759B"/>
    <w:rsid w:val="00D87E56"/>
    <w:rsid w:val="00D9051C"/>
    <w:rsid w:val="00D9073B"/>
    <w:rsid w:val="00D90A8A"/>
    <w:rsid w:val="00D915BD"/>
    <w:rsid w:val="00D91D8F"/>
    <w:rsid w:val="00D943D7"/>
    <w:rsid w:val="00D9471B"/>
    <w:rsid w:val="00D94CBC"/>
    <w:rsid w:val="00D966C9"/>
    <w:rsid w:val="00DA094E"/>
    <w:rsid w:val="00DA1F59"/>
    <w:rsid w:val="00DA1FB6"/>
    <w:rsid w:val="00DA32F9"/>
    <w:rsid w:val="00DA5C49"/>
    <w:rsid w:val="00DA65EB"/>
    <w:rsid w:val="00DB1446"/>
    <w:rsid w:val="00DB32F8"/>
    <w:rsid w:val="00DB3CD7"/>
    <w:rsid w:val="00DB55EB"/>
    <w:rsid w:val="00DB7872"/>
    <w:rsid w:val="00DB7E76"/>
    <w:rsid w:val="00DC2408"/>
    <w:rsid w:val="00DC3AC2"/>
    <w:rsid w:val="00DC40EA"/>
    <w:rsid w:val="00DC790A"/>
    <w:rsid w:val="00DD0B4C"/>
    <w:rsid w:val="00DD3FAE"/>
    <w:rsid w:val="00DD5028"/>
    <w:rsid w:val="00DE0160"/>
    <w:rsid w:val="00DE0C94"/>
    <w:rsid w:val="00DE22B5"/>
    <w:rsid w:val="00DE3795"/>
    <w:rsid w:val="00DE433F"/>
    <w:rsid w:val="00DE75CD"/>
    <w:rsid w:val="00DF16A2"/>
    <w:rsid w:val="00DF1D3F"/>
    <w:rsid w:val="00DF5323"/>
    <w:rsid w:val="00DF5B1A"/>
    <w:rsid w:val="00DF7201"/>
    <w:rsid w:val="00DF7619"/>
    <w:rsid w:val="00DF770F"/>
    <w:rsid w:val="00E0122E"/>
    <w:rsid w:val="00E01366"/>
    <w:rsid w:val="00E01679"/>
    <w:rsid w:val="00E035D3"/>
    <w:rsid w:val="00E0526B"/>
    <w:rsid w:val="00E05343"/>
    <w:rsid w:val="00E0539C"/>
    <w:rsid w:val="00E06C20"/>
    <w:rsid w:val="00E21970"/>
    <w:rsid w:val="00E21A31"/>
    <w:rsid w:val="00E231EE"/>
    <w:rsid w:val="00E266A9"/>
    <w:rsid w:val="00E335B5"/>
    <w:rsid w:val="00E35099"/>
    <w:rsid w:val="00E35A7F"/>
    <w:rsid w:val="00E416E5"/>
    <w:rsid w:val="00E44FA3"/>
    <w:rsid w:val="00E47FB6"/>
    <w:rsid w:val="00E52171"/>
    <w:rsid w:val="00E522CE"/>
    <w:rsid w:val="00E52AB9"/>
    <w:rsid w:val="00E54652"/>
    <w:rsid w:val="00E618FF"/>
    <w:rsid w:val="00E66A42"/>
    <w:rsid w:val="00E66B2D"/>
    <w:rsid w:val="00E66E5A"/>
    <w:rsid w:val="00E71B40"/>
    <w:rsid w:val="00E76030"/>
    <w:rsid w:val="00E7764F"/>
    <w:rsid w:val="00E814BD"/>
    <w:rsid w:val="00E818E2"/>
    <w:rsid w:val="00E82CA7"/>
    <w:rsid w:val="00E84705"/>
    <w:rsid w:val="00E8652D"/>
    <w:rsid w:val="00E874E8"/>
    <w:rsid w:val="00E87AFA"/>
    <w:rsid w:val="00E905E5"/>
    <w:rsid w:val="00E94141"/>
    <w:rsid w:val="00E943E7"/>
    <w:rsid w:val="00E96AAE"/>
    <w:rsid w:val="00EA0C38"/>
    <w:rsid w:val="00EA1B99"/>
    <w:rsid w:val="00EA2E7D"/>
    <w:rsid w:val="00EA490E"/>
    <w:rsid w:val="00EA51DF"/>
    <w:rsid w:val="00EB03B7"/>
    <w:rsid w:val="00EB2D19"/>
    <w:rsid w:val="00EB374D"/>
    <w:rsid w:val="00EB4BE6"/>
    <w:rsid w:val="00EB55CE"/>
    <w:rsid w:val="00EB5EA1"/>
    <w:rsid w:val="00EC4E96"/>
    <w:rsid w:val="00EC53AE"/>
    <w:rsid w:val="00EC58A4"/>
    <w:rsid w:val="00EC647B"/>
    <w:rsid w:val="00ED1CB0"/>
    <w:rsid w:val="00ED2290"/>
    <w:rsid w:val="00ED274F"/>
    <w:rsid w:val="00ED55C7"/>
    <w:rsid w:val="00EE200B"/>
    <w:rsid w:val="00EE267D"/>
    <w:rsid w:val="00EE550D"/>
    <w:rsid w:val="00EE5EBC"/>
    <w:rsid w:val="00EE6BEE"/>
    <w:rsid w:val="00EF1AB7"/>
    <w:rsid w:val="00EF1B70"/>
    <w:rsid w:val="00EF5859"/>
    <w:rsid w:val="00EF5ADD"/>
    <w:rsid w:val="00EF5B0B"/>
    <w:rsid w:val="00EF6B8C"/>
    <w:rsid w:val="00F002C5"/>
    <w:rsid w:val="00F0134E"/>
    <w:rsid w:val="00F0223D"/>
    <w:rsid w:val="00F05153"/>
    <w:rsid w:val="00F06061"/>
    <w:rsid w:val="00F13470"/>
    <w:rsid w:val="00F137F4"/>
    <w:rsid w:val="00F1726E"/>
    <w:rsid w:val="00F2037D"/>
    <w:rsid w:val="00F20DEA"/>
    <w:rsid w:val="00F21AA9"/>
    <w:rsid w:val="00F21AB8"/>
    <w:rsid w:val="00F23BF4"/>
    <w:rsid w:val="00F3034E"/>
    <w:rsid w:val="00F309A4"/>
    <w:rsid w:val="00F30A0F"/>
    <w:rsid w:val="00F313DE"/>
    <w:rsid w:val="00F3185A"/>
    <w:rsid w:val="00F31F46"/>
    <w:rsid w:val="00F321C0"/>
    <w:rsid w:val="00F33AEF"/>
    <w:rsid w:val="00F372D7"/>
    <w:rsid w:val="00F37F5D"/>
    <w:rsid w:val="00F42154"/>
    <w:rsid w:val="00F42779"/>
    <w:rsid w:val="00F42A34"/>
    <w:rsid w:val="00F43066"/>
    <w:rsid w:val="00F43EDF"/>
    <w:rsid w:val="00F44F4E"/>
    <w:rsid w:val="00F4512D"/>
    <w:rsid w:val="00F45992"/>
    <w:rsid w:val="00F53F21"/>
    <w:rsid w:val="00F557E8"/>
    <w:rsid w:val="00F6042F"/>
    <w:rsid w:val="00F62491"/>
    <w:rsid w:val="00F633D1"/>
    <w:rsid w:val="00F63927"/>
    <w:rsid w:val="00F64510"/>
    <w:rsid w:val="00F64CBA"/>
    <w:rsid w:val="00F65318"/>
    <w:rsid w:val="00F71939"/>
    <w:rsid w:val="00F721BF"/>
    <w:rsid w:val="00F72C0E"/>
    <w:rsid w:val="00F73301"/>
    <w:rsid w:val="00F75B12"/>
    <w:rsid w:val="00F766FE"/>
    <w:rsid w:val="00F76BD9"/>
    <w:rsid w:val="00F76E4A"/>
    <w:rsid w:val="00F807CC"/>
    <w:rsid w:val="00F85D82"/>
    <w:rsid w:val="00F86069"/>
    <w:rsid w:val="00F900B8"/>
    <w:rsid w:val="00F903A5"/>
    <w:rsid w:val="00F972E4"/>
    <w:rsid w:val="00FA041E"/>
    <w:rsid w:val="00FA146E"/>
    <w:rsid w:val="00FA1A75"/>
    <w:rsid w:val="00FA78E7"/>
    <w:rsid w:val="00FB0D04"/>
    <w:rsid w:val="00FB2B05"/>
    <w:rsid w:val="00FB7D87"/>
    <w:rsid w:val="00FC049B"/>
    <w:rsid w:val="00FC2D93"/>
    <w:rsid w:val="00FC3E5B"/>
    <w:rsid w:val="00FC504A"/>
    <w:rsid w:val="00FC5607"/>
    <w:rsid w:val="00FC712D"/>
    <w:rsid w:val="00FD2B72"/>
    <w:rsid w:val="00FD56F1"/>
    <w:rsid w:val="00FE2890"/>
    <w:rsid w:val="00FE4665"/>
    <w:rsid w:val="00FF0393"/>
    <w:rsid w:val="00FF28AB"/>
    <w:rsid w:val="00FF573E"/>
    <w:rsid w:val="00FF7AC9"/>
    <w:rsid w:val="010C2FE4"/>
    <w:rsid w:val="01DCEE8F"/>
    <w:rsid w:val="020F72EB"/>
    <w:rsid w:val="02119FD1"/>
    <w:rsid w:val="02235038"/>
    <w:rsid w:val="0229EE42"/>
    <w:rsid w:val="0254E1E3"/>
    <w:rsid w:val="025A378F"/>
    <w:rsid w:val="025D0AC6"/>
    <w:rsid w:val="02736434"/>
    <w:rsid w:val="02A39F0E"/>
    <w:rsid w:val="02BD5117"/>
    <w:rsid w:val="03191FF0"/>
    <w:rsid w:val="03329F34"/>
    <w:rsid w:val="03A0EA5C"/>
    <w:rsid w:val="043079B5"/>
    <w:rsid w:val="0461923A"/>
    <w:rsid w:val="0468D679"/>
    <w:rsid w:val="048945B3"/>
    <w:rsid w:val="051D7C33"/>
    <w:rsid w:val="052F6E17"/>
    <w:rsid w:val="053CD4C5"/>
    <w:rsid w:val="0541A1F2"/>
    <w:rsid w:val="056B1A7F"/>
    <w:rsid w:val="05FEB384"/>
    <w:rsid w:val="0661C46C"/>
    <w:rsid w:val="06D098B8"/>
    <w:rsid w:val="07527BE9"/>
    <w:rsid w:val="07697706"/>
    <w:rsid w:val="07C8C4B6"/>
    <w:rsid w:val="0854DBD7"/>
    <w:rsid w:val="085A39EE"/>
    <w:rsid w:val="08A75D44"/>
    <w:rsid w:val="08B1E534"/>
    <w:rsid w:val="08D8BA76"/>
    <w:rsid w:val="08EF4CBA"/>
    <w:rsid w:val="09A73F96"/>
    <w:rsid w:val="09DB4B1E"/>
    <w:rsid w:val="09E864E3"/>
    <w:rsid w:val="0A8416A6"/>
    <w:rsid w:val="0B0AF63F"/>
    <w:rsid w:val="0B5A68EB"/>
    <w:rsid w:val="0BA864D5"/>
    <w:rsid w:val="0BC2A727"/>
    <w:rsid w:val="0BFE9F25"/>
    <w:rsid w:val="0C3BD350"/>
    <w:rsid w:val="0C43C003"/>
    <w:rsid w:val="0C77F0DF"/>
    <w:rsid w:val="0CFC30EB"/>
    <w:rsid w:val="0D02B32E"/>
    <w:rsid w:val="0D1B9C53"/>
    <w:rsid w:val="0D68731D"/>
    <w:rsid w:val="0D719AC5"/>
    <w:rsid w:val="0DDC8959"/>
    <w:rsid w:val="0DF00176"/>
    <w:rsid w:val="0E57AA9A"/>
    <w:rsid w:val="0EC1E353"/>
    <w:rsid w:val="0F086316"/>
    <w:rsid w:val="0F738511"/>
    <w:rsid w:val="0F74F077"/>
    <w:rsid w:val="0FA7E615"/>
    <w:rsid w:val="0FD167EF"/>
    <w:rsid w:val="10156A2E"/>
    <w:rsid w:val="10282E62"/>
    <w:rsid w:val="10CD439B"/>
    <w:rsid w:val="10E7543E"/>
    <w:rsid w:val="10EAA0B7"/>
    <w:rsid w:val="11005AAE"/>
    <w:rsid w:val="11D9C729"/>
    <w:rsid w:val="12189747"/>
    <w:rsid w:val="127BAE1C"/>
    <w:rsid w:val="129CEB3D"/>
    <w:rsid w:val="1379D2D3"/>
    <w:rsid w:val="13AFE1BE"/>
    <w:rsid w:val="1403EE5D"/>
    <w:rsid w:val="14ABCCD8"/>
    <w:rsid w:val="14BB8AA1"/>
    <w:rsid w:val="14E7A475"/>
    <w:rsid w:val="15983D07"/>
    <w:rsid w:val="160350A8"/>
    <w:rsid w:val="16248A78"/>
    <w:rsid w:val="16591DF8"/>
    <w:rsid w:val="167FA0FD"/>
    <w:rsid w:val="168C361F"/>
    <w:rsid w:val="17C31635"/>
    <w:rsid w:val="17D32E6F"/>
    <w:rsid w:val="17F3756A"/>
    <w:rsid w:val="182FB592"/>
    <w:rsid w:val="183D5C5C"/>
    <w:rsid w:val="18684828"/>
    <w:rsid w:val="18847190"/>
    <w:rsid w:val="18B0399D"/>
    <w:rsid w:val="191F7F0B"/>
    <w:rsid w:val="1946BEBA"/>
    <w:rsid w:val="198F3A7A"/>
    <w:rsid w:val="1A5A5DDE"/>
    <w:rsid w:val="1A9D81B8"/>
    <w:rsid w:val="1AF3C3D7"/>
    <w:rsid w:val="1B662E92"/>
    <w:rsid w:val="1B8AEE7C"/>
    <w:rsid w:val="1BA30EEF"/>
    <w:rsid w:val="1BDCA47A"/>
    <w:rsid w:val="1BE83447"/>
    <w:rsid w:val="1BED5546"/>
    <w:rsid w:val="1BF8544B"/>
    <w:rsid w:val="1C9EC111"/>
    <w:rsid w:val="1D4C8863"/>
    <w:rsid w:val="1DBDDF3B"/>
    <w:rsid w:val="1DEB7C8F"/>
    <w:rsid w:val="1EB86AA1"/>
    <w:rsid w:val="1EDD16FC"/>
    <w:rsid w:val="1F3AD953"/>
    <w:rsid w:val="1FBF374C"/>
    <w:rsid w:val="1FDCEE63"/>
    <w:rsid w:val="2009B94C"/>
    <w:rsid w:val="2009C3C4"/>
    <w:rsid w:val="2045A4AA"/>
    <w:rsid w:val="204AD3ED"/>
    <w:rsid w:val="209DB338"/>
    <w:rsid w:val="20EC056F"/>
    <w:rsid w:val="215E82F2"/>
    <w:rsid w:val="2191E525"/>
    <w:rsid w:val="22114C04"/>
    <w:rsid w:val="22733DCD"/>
    <w:rsid w:val="227A8F8D"/>
    <w:rsid w:val="233C2FDD"/>
    <w:rsid w:val="2340839D"/>
    <w:rsid w:val="23592611"/>
    <w:rsid w:val="23FAD57F"/>
    <w:rsid w:val="2457DAD9"/>
    <w:rsid w:val="248DDA16"/>
    <w:rsid w:val="2535CA34"/>
    <w:rsid w:val="26CA4AF1"/>
    <w:rsid w:val="2706ABCE"/>
    <w:rsid w:val="27720034"/>
    <w:rsid w:val="27D90F8E"/>
    <w:rsid w:val="27DF37A2"/>
    <w:rsid w:val="27E46CB6"/>
    <w:rsid w:val="28D4523B"/>
    <w:rsid w:val="2918B7ED"/>
    <w:rsid w:val="291A0657"/>
    <w:rsid w:val="2954A87A"/>
    <w:rsid w:val="2978394C"/>
    <w:rsid w:val="29B7BA93"/>
    <w:rsid w:val="2A19BD04"/>
    <w:rsid w:val="2A6A7D63"/>
    <w:rsid w:val="2A7BD189"/>
    <w:rsid w:val="2ACF034E"/>
    <w:rsid w:val="2B174DA6"/>
    <w:rsid w:val="2B32FA58"/>
    <w:rsid w:val="2B3838D5"/>
    <w:rsid w:val="2BAA21C5"/>
    <w:rsid w:val="2BD37D84"/>
    <w:rsid w:val="2BDBBD85"/>
    <w:rsid w:val="2C0617D4"/>
    <w:rsid w:val="2C15B331"/>
    <w:rsid w:val="2C2FD7A6"/>
    <w:rsid w:val="2CAFC9FD"/>
    <w:rsid w:val="2CBAB92F"/>
    <w:rsid w:val="2D298182"/>
    <w:rsid w:val="2DAA6E61"/>
    <w:rsid w:val="2E2148F0"/>
    <w:rsid w:val="2E353DCD"/>
    <w:rsid w:val="2F2F42E4"/>
    <w:rsid w:val="2FE15709"/>
    <w:rsid w:val="2FE7A418"/>
    <w:rsid w:val="308E319B"/>
    <w:rsid w:val="3125B618"/>
    <w:rsid w:val="31B07575"/>
    <w:rsid w:val="31D6DA25"/>
    <w:rsid w:val="3275BC4C"/>
    <w:rsid w:val="32E9B7B6"/>
    <w:rsid w:val="33124535"/>
    <w:rsid w:val="3314ED90"/>
    <w:rsid w:val="335B255D"/>
    <w:rsid w:val="3360C2BC"/>
    <w:rsid w:val="338AD70C"/>
    <w:rsid w:val="3399BA2D"/>
    <w:rsid w:val="3439599B"/>
    <w:rsid w:val="349D310A"/>
    <w:rsid w:val="357C4E6D"/>
    <w:rsid w:val="359C6B73"/>
    <w:rsid w:val="35B7C09B"/>
    <w:rsid w:val="35ECAC81"/>
    <w:rsid w:val="36AF678E"/>
    <w:rsid w:val="36B265CB"/>
    <w:rsid w:val="36E6B23B"/>
    <w:rsid w:val="3722529B"/>
    <w:rsid w:val="373A3A5D"/>
    <w:rsid w:val="3784991A"/>
    <w:rsid w:val="378DF05B"/>
    <w:rsid w:val="37C45E01"/>
    <w:rsid w:val="37E710FA"/>
    <w:rsid w:val="37F223E2"/>
    <w:rsid w:val="381C553A"/>
    <w:rsid w:val="381E2405"/>
    <w:rsid w:val="384F6410"/>
    <w:rsid w:val="389098E0"/>
    <w:rsid w:val="38DDF63B"/>
    <w:rsid w:val="396396E2"/>
    <w:rsid w:val="39851516"/>
    <w:rsid w:val="398895F4"/>
    <w:rsid w:val="3B384404"/>
    <w:rsid w:val="3B3DFA94"/>
    <w:rsid w:val="3B7D4EC3"/>
    <w:rsid w:val="3B8C8C04"/>
    <w:rsid w:val="3BFE0AC4"/>
    <w:rsid w:val="3C59E6E1"/>
    <w:rsid w:val="3C907DE4"/>
    <w:rsid w:val="3CE0864D"/>
    <w:rsid w:val="3DEBF4D2"/>
    <w:rsid w:val="3DF5E3D3"/>
    <w:rsid w:val="3ED1BC91"/>
    <w:rsid w:val="401F0B66"/>
    <w:rsid w:val="40642C7E"/>
    <w:rsid w:val="40EFA36A"/>
    <w:rsid w:val="41ABF976"/>
    <w:rsid w:val="41D664FB"/>
    <w:rsid w:val="41E3EDB3"/>
    <w:rsid w:val="42149E27"/>
    <w:rsid w:val="425F98C9"/>
    <w:rsid w:val="426699F8"/>
    <w:rsid w:val="42918D36"/>
    <w:rsid w:val="4341E8B3"/>
    <w:rsid w:val="43F9DC00"/>
    <w:rsid w:val="44C65F48"/>
    <w:rsid w:val="4500F44C"/>
    <w:rsid w:val="45036B85"/>
    <w:rsid w:val="4529DADE"/>
    <w:rsid w:val="45B663CA"/>
    <w:rsid w:val="45C21615"/>
    <w:rsid w:val="45CC07B7"/>
    <w:rsid w:val="462A3022"/>
    <w:rsid w:val="47109AF1"/>
    <w:rsid w:val="47237453"/>
    <w:rsid w:val="47BC05CD"/>
    <w:rsid w:val="47E3B0C7"/>
    <w:rsid w:val="4813A340"/>
    <w:rsid w:val="482D7759"/>
    <w:rsid w:val="48AB2BBE"/>
    <w:rsid w:val="48D272E0"/>
    <w:rsid w:val="497DBB75"/>
    <w:rsid w:val="498304ED"/>
    <w:rsid w:val="49CEED2B"/>
    <w:rsid w:val="4A06A0E9"/>
    <w:rsid w:val="4A115D17"/>
    <w:rsid w:val="4A290FC7"/>
    <w:rsid w:val="4AAB5323"/>
    <w:rsid w:val="4B2E8052"/>
    <w:rsid w:val="4B9A0813"/>
    <w:rsid w:val="4BAE1EBA"/>
    <w:rsid w:val="4BB08B18"/>
    <w:rsid w:val="4C23570B"/>
    <w:rsid w:val="4C51E8DF"/>
    <w:rsid w:val="4D3DEBA0"/>
    <w:rsid w:val="4D3DFA82"/>
    <w:rsid w:val="4D7B7FE8"/>
    <w:rsid w:val="4DA94912"/>
    <w:rsid w:val="4DD5137B"/>
    <w:rsid w:val="4E3EBB1E"/>
    <w:rsid w:val="4E5C2170"/>
    <w:rsid w:val="4E5C64B0"/>
    <w:rsid w:val="4E7D5344"/>
    <w:rsid w:val="501AB1C5"/>
    <w:rsid w:val="50761C7A"/>
    <w:rsid w:val="50A742B2"/>
    <w:rsid w:val="510CABE1"/>
    <w:rsid w:val="51A084CB"/>
    <w:rsid w:val="52242835"/>
    <w:rsid w:val="527D67FE"/>
    <w:rsid w:val="52CCB711"/>
    <w:rsid w:val="52F7673A"/>
    <w:rsid w:val="531517F6"/>
    <w:rsid w:val="535A7CB9"/>
    <w:rsid w:val="53950BE2"/>
    <w:rsid w:val="54381709"/>
    <w:rsid w:val="54474480"/>
    <w:rsid w:val="54F5A217"/>
    <w:rsid w:val="551FD30A"/>
    <w:rsid w:val="552A32F9"/>
    <w:rsid w:val="554B1D35"/>
    <w:rsid w:val="55D41878"/>
    <w:rsid w:val="5681F1C9"/>
    <w:rsid w:val="56F9A366"/>
    <w:rsid w:val="5721F92D"/>
    <w:rsid w:val="577D69F3"/>
    <w:rsid w:val="578391AA"/>
    <w:rsid w:val="57F40EA8"/>
    <w:rsid w:val="586172FE"/>
    <w:rsid w:val="588D55E8"/>
    <w:rsid w:val="588F286B"/>
    <w:rsid w:val="589EFB05"/>
    <w:rsid w:val="59196BCA"/>
    <w:rsid w:val="5933B1FC"/>
    <w:rsid w:val="5949CC40"/>
    <w:rsid w:val="59D8F797"/>
    <w:rsid w:val="5A7AFC72"/>
    <w:rsid w:val="5A7B3D77"/>
    <w:rsid w:val="5ADDB4DB"/>
    <w:rsid w:val="5B066C32"/>
    <w:rsid w:val="5B3D48C4"/>
    <w:rsid w:val="5B478ED0"/>
    <w:rsid w:val="5B996557"/>
    <w:rsid w:val="5B9CEB92"/>
    <w:rsid w:val="5C762C2A"/>
    <w:rsid w:val="5C7D330A"/>
    <w:rsid w:val="5C821BAE"/>
    <w:rsid w:val="5D00DD80"/>
    <w:rsid w:val="5DB6A8A1"/>
    <w:rsid w:val="5DFAD673"/>
    <w:rsid w:val="5E00B2EE"/>
    <w:rsid w:val="5F6EEE18"/>
    <w:rsid w:val="605FDFCE"/>
    <w:rsid w:val="607ADE8D"/>
    <w:rsid w:val="60F99FBA"/>
    <w:rsid w:val="619A262C"/>
    <w:rsid w:val="61B11790"/>
    <w:rsid w:val="62190F8E"/>
    <w:rsid w:val="622FC1FA"/>
    <w:rsid w:val="62E1192B"/>
    <w:rsid w:val="62F30A09"/>
    <w:rsid w:val="632A2E22"/>
    <w:rsid w:val="635436B1"/>
    <w:rsid w:val="6360AFC7"/>
    <w:rsid w:val="63C53260"/>
    <w:rsid w:val="6484D258"/>
    <w:rsid w:val="648F49E0"/>
    <w:rsid w:val="64A77AE8"/>
    <w:rsid w:val="64F0314C"/>
    <w:rsid w:val="653AB6E7"/>
    <w:rsid w:val="656302CA"/>
    <w:rsid w:val="65B32F04"/>
    <w:rsid w:val="663B3F0C"/>
    <w:rsid w:val="665BD3EE"/>
    <w:rsid w:val="67451DED"/>
    <w:rsid w:val="676E7067"/>
    <w:rsid w:val="68492145"/>
    <w:rsid w:val="6868185B"/>
    <w:rsid w:val="69012E0C"/>
    <w:rsid w:val="69AB8DB8"/>
    <w:rsid w:val="6A03A044"/>
    <w:rsid w:val="6A842BE1"/>
    <w:rsid w:val="6AC0BF9C"/>
    <w:rsid w:val="6ACFA5DD"/>
    <w:rsid w:val="6AF4464D"/>
    <w:rsid w:val="6B1E602F"/>
    <w:rsid w:val="6B1E809A"/>
    <w:rsid w:val="6BA59860"/>
    <w:rsid w:val="6C41DCFC"/>
    <w:rsid w:val="6C42BBE4"/>
    <w:rsid w:val="6C63EFA7"/>
    <w:rsid w:val="6C643C73"/>
    <w:rsid w:val="6C70D8F5"/>
    <w:rsid w:val="6C9738F7"/>
    <w:rsid w:val="6D07048C"/>
    <w:rsid w:val="6D17DC23"/>
    <w:rsid w:val="6D382031"/>
    <w:rsid w:val="6D74F3F9"/>
    <w:rsid w:val="6E176E78"/>
    <w:rsid w:val="6E44696E"/>
    <w:rsid w:val="6E95AF48"/>
    <w:rsid w:val="6EBBAE28"/>
    <w:rsid w:val="6ED12C04"/>
    <w:rsid w:val="6F25E63D"/>
    <w:rsid w:val="6F81EE4D"/>
    <w:rsid w:val="6F8D5B17"/>
    <w:rsid w:val="6FD23040"/>
    <w:rsid w:val="6FDC41D4"/>
    <w:rsid w:val="703EC19B"/>
    <w:rsid w:val="70681A9C"/>
    <w:rsid w:val="70721555"/>
    <w:rsid w:val="708547E1"/>
    <w:rsid w:val="70FD4F3F"/>
    <w:rsid w:val="717A2401"/>
    <w:rsid w:val="7192F09A"/>
    <w:rsid w:val="71A21EA4"/>
    <w:rsid w:val="72470440"/>
    <w:rsid w:val="72C7E01D"/>
    <w:rsid w:val="72D42E90"/>
    <w:rsid w:val="732F2FA0"/>
    <w:rsid w:val="73408218"/>
    <w:rsid w:val="73905289"/>
    <w:rsid w:val="73A0923C"/>
    <w:rsid w:val="7411C1AA"/>
    <w:rsid w:val="74A5FD2C"/>
    <w:rsid w:val="74C000AB"/>
    <w:rsid w:val="74F7B712"/>
    <w:rsid w:val="7544AF34"/>
    <w:rsid w:val="757BC916"/>
    <w:rsid w:val="75E3EC08"/>
    <w:rsid w:val="75F18A26"/>
    <w:rsid w:val="762FAC5E"/>
    <w:rsid w:val="76A026DA"/>
    <w:rsid w:val="76F1AF85"/>
    <w:rsid w:val="770A4C3F"/>
    <w:rsid w:val="770EDEEA"/>
    <w:rsid w:val="77B0CB20"/>
    <w:rsid w:val="77B67EAA"/>
    <w:rsid w:val="77C650C3"/>
    <w:rsid w:val="77F673E5"/>
    <w:rsid w:val="7856F4D7"/>
    <w:rsid w:val="78A3454D"/>
    <w:rsid w:val="78C5CD13"/>
    <w:rsid w:val="78FF15C4"/>
    <w:rsid w:val="79162C5F"/>
    <w:rsid w:val="79F8467B"/>
    <w:rsid w:val="7A959FA5"/>
    <w:rsid w:val="7A980758"/>
    <w:rsid w:val="7AEA6DB6"/>
    <w:rsid w:val="7AEF1A92"/>
    <w:rsid w:val="7B01CA50"/>
    <w:rsid w:val="7C2D2D7A"/>
    <w:rsid w:val="7C9A8AD1"/>
    <w:rsid w:val="7CF9AE62"/>
    <w:rsid w:val="7D94D77A"/>
    <w:rsid w:val="7DCC373E"/>
    <w:rsid w:val="7E0E04B4"/>
    <w:rsid w:val="7E2486B6"/>
    <w:rsid w:val="7E61AE15"/>
    <w:rsid w:val="7EEE0F39"/>
    <w:rsid w:val="7F0FF29E"/>
    <w:rsid w:val="7F77B22F"/>
    <w:rsid w:val="7FD34E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D79063"/>
  <w15:chartTrackingRefBased/>
  <w15:docId w15:val="{554AF70A-7754-4B60-82F0-9794C5767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7E2A"/>
  </w:style>
  <w:style w:type="paragraph" w:styleId="Heading1">
    <w:name w:val="heading 1"/>
    <w:basedOn w:val="Normal"/>
    <w:next w:val="Normal"/>
    <w:link w:val="Heading1Char"/>
    <w:uiPriority w:val="9"/>
    <w:qFormat/>
    <w:rsid w:val="0022252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2252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2252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56F1"/>
    <w:pPr>
      <w:ind w:left="720"/>
      <w:contextualSpacing/>
    </w:pPr>
  </w:style>
  <w:style w:type="paragraph" w:styleId="Revision">
    <w:name w:val="Revision"/>
    <w:hidden/>
    <w:uiPriority w:val="99"/>
    <w:semiHidden/>
    <w:rsid w:val="00F65318"/>
    <w:pPr>
      <w:spacing w:after="0" w:line="240" w:lineRule="auto"/>
    </w:pPr>
  </w:style>
  <w:style w:type="character" w:styleId="CommentReference">
    <w:name w:val="annotation reference"/>
    <w:basedOn w:val="DefaultParagraphFont"/>
    <w:uiPriority w:val="99"/>
    <w:semiHidden/>
    <w:unhideWhenUsed/>
    <w:rsid w:val="005E6B86"/>
    <w:rPr>
      <w:sz w:val="16"/>
      <w:szCs w:val="16"/>
    </w:rPr>
  </w:style>
  <w:style w:type="paragraph" w:styleId="CommentText">
    <w:name w:val="annotation text"/>
    <w:basedOn w:val="Normal"/>
    <w:link w:val="CommentTextChar"/>
    <w:uiPriority w:val="99"/>
    <w:unhideWhenUsed/>
    <w:rsid w:val="005E6B86"/>
    <w:pPr>
      <w:spacing w:line="240" w:lineRule="auto"/>
    </w:pPr>
    <w:rPr>
      <w:sz w:val="20"/>
      <w:szCs w:val="20"/>
    </w:rPr>
  </w:style>
  <w:style w:type="character" w:customStyle="1" w:styleId="CommentTextChar">
    <w:name w:val="Comment Text Char"/>
    <w:basedOn w:val="DefaultParagraphFont"/>
    <w:link w:val="CommentText"/>
    <w:uiPriority w:val="99"/>
    <w:rsid w:val="005E6B86"/>
    <w:rPr>
      <w:sz w:val="20"/>
      <w:szCs w:val="20"/>
    </w:rPr>
  </w:style>
  <w:style w:type="paragraph" w:styleId="CommentSubject">
    <w:name w:val="annotation subject"/>
    <w:basedOn w:val="CommentText"/>
    <w:next w:val="CommentText"/>
    <w:link w:val="CommentSubjectChar"/>
    <w:uiPriority w:val="99"/>
    <w:semiHidden/>
    <w:unhideWhenUsed/>
    <w:rsid w:val="005E6B86"/>
    <w:rPr>
      <w:b/>
      <w:bCs/>
    </w:rPr>
  </w:style>
  <w:style w:type="character" w:customStyle="1" w:styleId="CommentSubjectChar">
    <w:name w:val="Comment Subject Char"/>
    <w:basedOn w:val="CommentTextChar"/>
    <w:link w:val="CommentSubject"/>
    <w:uiPriority w:val="99"/>
    <w:semiHidden/>
    <w:rsid w:val="005E6B86"/>
    <w:rPr>
      <w:b/>
      <w:bCs/>
      <w:sz w:val="20"/>
      <w:szCs w:val="20"/>
    </w:rPr>
  </w:style>
  <w:style w:type="paragraph" w:styleId="FootnoteText">
    <w:name w:val="footnote text"/>
    <w:basedOn w:val="Normal"/>
    <w:link w:val="FootnoteTextChar"/>
    <w:uiPriority w:val="99"/>
    <w:semiHidden/>
    <w:unhideWhenUsed/>
    <w:rsid w:val="00720EB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20EB8"/>
    <w:rPr>
      <w:sz w:val="20"/>
      <w:szCs w:val="20"/>
    </w:rPr>
  </w:style>
  <w:style w:type="character" w:styleId="FootnoteReference">
    <w:name w:val="footnote reference"/>
    <w:basedOn w:val="DefaultParagraphFont"/>
    <w:uiPriority w:val="99"/>
    <w:semiHidden/>
    <w:unhideWhenUsed/>
    <w:rsid w:val="00720EB8"/>
    <w:rPr>
      <w:vertAlign w:val="superscript"/>
    </w:rPr>
  </w:style>
  <w:style w:type="character" w:styleId="Hyperlink">
    <w:name w:val="Hyperlink"/>
    <w:basedOn w:val="DefaultParagraphFont"/>
    <w:uiPriority w:val="99"/>
    <w:unhideWhenUsed/>
    <w:rsid w:val="00F45992"/>
    <w:rPr>
      <w:color w:val="0563C1" w:themeColor="hyperlink"/>
      <w:u w:val="single"/>
    </w:rPr>
  </w:style>
  <w:style w:type="character" w:customStyle="1" w:styleId="UnresolvedMention1">
    <w:name w:val="Unresolved Mention1"/>
    <w:basedOn w:val="DefaultParagraphFont"/>
    <w:uiPriority w:val="99"/>
    <w:semiHidden/>
    <w:unhideWhenUsed/>
    <w:rsid w:val="00F45992"/>
    <w:rPr>
      <w:color w:val="605E5C"/>
      <w:shd w:val="clear" w:color="auto" w:fill="E1DFDD"/>
    </w:rPr>
  </w:style>
  <w:style w:type="paragraph" w:styleId="Header">
    <w:name w:val="header"/>
    <w:basedOn w:val="Normal"/>
    <w:link w:val="HeaderChar"/>
    <w:uiPriority w:val="99"/>
    <w:unhideWhenUsed/>
    <w:rsid w:val="00394A0A"/>
    <w:pPr>
      <w:tabs>
        <w:tab w:val="center" w:pos="4536"/>
        <w:tab w:val="right" w:pos="9072"/>
      </w:tabs>
      <w:spacing w:after="0" w:line="240" w:lineRule="auto"/>
    </w:pPr>
  </w:style>
  <w:style w:type="character" w:customStyle="1" w:styleId="HeaderChar">
    <w:name w:val="Header Char"/>
    <w:basedOn w:val="DefaultParagraphFont"/>
    <w:link w:val="Header"/>
    <w:uiPriority w:val="99"/>
    <w:rsid w:val="00394A0A"/>
  </w:style>
  <w:style w:type="paragraph" w:styleId="Footer">
    <w:name w:val="footer"/>
    <w:basedOn w:val="Normal"/>
    <w:link w:val="FooterChar"/>
    <w:uiPriority w:val="99"/>
    <w:unhideWhenUsed/>
    <w:rsid w:val="00394A0A"/>
    <w:pPr>
      <w:tabs>
        <w:tab w:val="center" w:pos="4536"/>
        <w:tab w:val="right" w:pos="9072"/>
      </w:tabs>
      <w:spacing w:after="0" w:line="240" w:lineRule="auto"/>
    </w:pPr>
  </w:style>
  <w:style w:type="character" w:customStyle="1" w:styleId="FooterChar">
    <w:name w:val="Footer Char"/>
    <w:basedOn w:val="DefaultParagraphFont"/>
    <w:link w:val="Footer"/>
    <w:uiPriority w:val="99"/>
    <w:rsid w:val="00394A0A"/>
  </w:style>
  <w:style w:type="paragraph" w:styleId="Caption">
    <w:name w:val="caption"/>
    <w:basedOn w:val="Normal"/>
    <w:next w:val="Normal"/>
    <w:uiPriority w:val="35"/>
    <w:unhideWhenUsed/>
    <w:qFormat/>
    <w:rsid w:val="00392D53"/>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22252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2252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22527"/>
    <w:rPr>
      <w:rFonts w:asciiTheme="majorHAnsi" w:eastAsiaTheme="majorEastAsia" w:hAnsiTheme="majorHAnsi" w:cstheme="majorBidi"/>
      <w:color w:val="1F3763" w:themeColor="accent1" w:themeShade="7F"/>
      <w:sz w:val="24"/>
      <w:szCs w:val="24"/>
    </w:rPr>
  </w:style>
  <w:style w:type="character" w:styleId="UnresolvedMention">
    <w:name w:val="Unresolved Mention"/>
    <w:basedOn w:val="DefaultParagraphFont"/>
    <w:uiPriority w:val="99"/>
    <w:rsid w:val="005021C3"/>
    <w:rPr>
      <w:color w:val="605E5C"/>
      <w:shd w:val="clear" w:color="auto" w:fill="E1DFDD"/>
    </w:rPr>
  </w:style>
  <w:style w:type="character" w:styleId="FollowedHyperlink">
    <w:name w:val="FollowedHyperlink"/>
    <w:basedOn w:val="DefaultParagraphFont"/>
    <w:uiPriority w:val="99"/>
    <w:semiHidden/>
    <w:unhideWhenUsed/>
    <w:rsid w:val="00814B4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9398529">
      <w:bodyDiv w:val="1"/>
      <w:marLeft w:val="0"/>
      <w:marRight w:val="0"/>
      <w:marTop w:val="0"/>
      <w:marBottom w:val="0"/>
      <w:divBdr>
        <w:top w:val="none" w:sz="0" w:space="0" w:color="auto"/>
        <w:left w:val="none" w:sz="0" w:space="0" w:color="auto"/>
        <w:bottom w:val="none" w:sz="0" w:space="0" w:color="auto"/>
        <w:right w:val="none" w:sz="0" w:space="0" w:color="auto"/>
      </w:divBdr>
    </w:div>
    <w:div w:id="753626696">
      <w:bodyDiv w:val="1"/>
      <w:marLeft w:val="0"/>
      <w:marRight w:val="0"/>
      <w:marTop w:val="0"/>
      <w:marBottom w:val="0"/>
      <w:divBdr>
        <w:top w:val="none" w:sz="0" w:space="0" w:color="auto"/>
        <w:left w:val="none" w:sz="0" w:space="0" w:color="auto"/>
        <w:bottom w:val="none" w:sz="0" w:space="0" w:color="auto"/>
        <w:right w:val="none" w:sz="0" w:space="0" w:color="auto"/>
      </w:divBdr>
    </w:div>
    <w:div w:id="793405188">
      <w:bodyDiv w:val="1"/>
      <w:marLeft w:val="0"/>
      <w:marRight w:val="0"/>
      <w:marTop w:val="0"/>
      <w:marBottom w:val="0"/>
      <w:divBdr>
        <w:top w:val="none" w:sz="0" w:space="0" w:color="auto"/>
        <w:left w:val="none" w:sz="0" w:space="0" w:color="auto"/>
        <w:bottom w:val="none" w:sz="0" w:space="0" w:color="auto"/>
        <w:right w:val="none" w:sz="0" w:space="0" w:color="auto"/>
      </w:divBdr>
    </w:div>
    <w:div w:id="1309170260">
      <w:bodyDiv w:val="1"/>
      <w:marLeft w:val="0"/>
      <w:marRight w:val="0"/>
      <w:marTop w:val="0"/>
      <w:marBottom w:val="0"/>
      <w:divBdr>
        <w:top w:val="none" w:sz="0" w:space="0" w:color="auto"/>
        <w:left w:val="none" w:sz="0" w:space="0" w:color="auto"/>
        <w:bottom w:val="none" w:sz="0" w:space="0" w:color="auto"/>
        <w:right w:val="none" w:sz="0" w:space="0" w:color="auto"/>
      </w:divBdr>
    </w:div>
    <w:div w:id="205260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chart" Target="charts/chart4.xml"/><Relationship Id="rId2" Type="http://schemas.openxmlformats.org/officeDocument/2006/relationships/customXml" Target="../customXml/item2.xml"/><Relationship Id="rId16" Type="http://schemas.openxmlformats.org/officeDocument/2006/relationships/chart" Target="charts/chart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chart" Target="charts/chart2.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1.xml"/></Relationships>
</file>

<file path=word/_rels/footnotes.xml.rels><?xml version="1.0" encoding="UTF-8" standalone="yes"?>
<Relationships xmlns="http://schemas.openxmlformats.org/package/2006/relationships"><Relationship Id="rId1" Type="http://schemas.openxmlformats.org/officeDocument/2006/relationships/hyperlink" Target="https://elering.ee/sites/default/files/public/varustuskindluse%20konverentsid/2024/Elering_VKA_2024_04062025.pdf"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fingrid-my.sharepoint.com/personal/marina_nordstrom_fingrid_fi/Documents/Tiedostot/FTR/Taulukot%20ja%20graafi%20explanatory%20documentia%20varten.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NORMAR\AppData\Local\Microsoft\Windows\INetCache\Content.Outlook\ZXO924AV\SAP%20dashboard.xlsx"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file:///C:\Users\airi.noor\AppData\Local\Microsoft\Windows\INetCache\Content.Outlook\0LUJ9T32\SAP%20dashboard.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elering1-my.sharepoint.com/personal/erkki_sapp_elering_ee/Documents/Microsoft%20Teamsi%20tekstvestlusfailid/FTR%20riski%20arvutus.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009062462443748"/>
          <c:y val="9.8305390561285247E-2"/>
          <c:w val="0.80790485564304459"/>
          <c:h val="0.77715477293790547"/>
        </c:manualLayout>
      </c:layout>
      <c:barChart>
        <c:barDir val="col"/>
        <c:grouping val="clustered"/>
        <c:varyColors val="0"/>
        <c:ser>
          <c:idx val="0"/>
          <c:order val="0"/>
          <c:spPr>
            <a:solidFill>
              <a:schemeClr val="accent1"/>
            </a:solidFill>
            <a:ln>
              <a:noFill/>
            </a:ln>
            <a:effectLst/>
          </c:spPr>
          <c:invertIfNegative val="0"/>
          <c:cat>
            <c:numRef>
              <c:f>Sheet4!$A$2:$A$22</c:f>
              <c:numCache>
                <c:formatCode>m/d/yyyy</c:formatCode>
                <c:ptCount val="21"/>
                <c:pt idx="0">
                  <c:v>44927</c:v>
                </c:pt>
                <c:pt idx="1">
                  <c:v>44958</c:v>
                </c:pt>
                <c:pt idx="2">
                  <c:v>44986</c:v>
                </c:pt>
                <c:pt idx="3">
                  <c:v>45017</c:v>
                </c:pt>
                <c:pt idx="4">
                  <c:v>45047</c:v>
                </c:pt>
                <c:pt idx="5">
                  <c:v>45078</c:v>
                </c:pt>
                <c:pt idx="6">
                  <c:v>45108</c:v>
                </c:pt>
                <c:pt idx="7">
                  <c:v>45139</c:v>
                </c:pt>
                <c:pt idx="8">
                  <c:v>45170</c:v>
                </c:pt>
                <c:pt idx="9">
                  <c:v>45200</c:v>
                </c:pt>
                <c:pt idx="10">
                  <c:v>45231</c:v>
                </c:pt>
                <c:pt idx="11">
                  <c:v>45261</c:v>
                </c:pt>
                <c:pt idx="13">
                  <c:v>45566</c:v>
                </c:pt>
                <c:pt idx="14">
                  <c:v>45597</c:v>
                </c:pt>
                <c:pt idx="16">
                  <c:v>45839</c:v>
                </c:pt>
                <c:pt idx="17">
                  <c:v>45870</c:v>
                </c:pt>
                <c:pt idx="18">
                  <c:v>45901</c:v>
                </c:pt>
                <c:pt idx="19">
                  <c:v>45931</c:v>
                </c:pt>
                <c:pt idx="20">
                  <c:v>45962</c:v>
                </c:pt>
              </c:numCache>
            </c:numRef>
          </c:cat>
          <c:val>
            <c:numRef>
              <c:f>Sheet4!$B$2:$B$22</c:f>
              <c:numCache>
                <c:formatCode>#,##0.00</c:formatCode>
                <c:ptCount val="21"/>
                <c:pt idx="0">
                  <c:v>1069890.5060000001</c:v>
                </c:pt>
                <c:pt idx="1">
                  <c:v>-3777655.0800000019</c:v>
                </c:pt>
                <c:pt idx="2">
                  <c:v>1227633.5000000098</c:v>
                </c:pt>
                <c:pt idx="3">
                  <c:v>2780828.95</c:v>
                </c:pt>
                <c:pt idx="4">
                  <c:v>-5659272.129999999</c:v>
                </c:pt>
                <c:pt idx="5">
                  <c:v>-5263996.500000203</c:v>
                </c:pt>
                <c:pt idx="6">
                  <c:v>-6833659.51075052</c:v>
                </c:pt>
                <c:pt idx="7">
                  <c:v>-1307579.1900000009</c:v>
                </c:pt>
                <c:pt idx="8">
                  <c:v>-13515124.249999987</c:v>
                </c:pt>
                <c:pt idx="9">
                  <c:v>-5550460.8212498976</c:v>
                </c:pt>
                <c:pt idx="10">
                  <c:v>-1399471.2550000772</c:v>
                </c:pt>
                <c:pt idx="11">
                  <c:v>616050.25000000093</c:v>
                </c:pt>
                <c:pt idx="13">
                  <c:v>-5506394.7499999963</c:v>
                </c:pt>
                <c:pt idx="14">
                  <c:v>-1617549.7499998636</c:v>
                </c:pt>
                <c:pt idx="16">
                  <c:v>4054424.3800000008</c:v>
                </c:pt>
                <c:pt idx="17">
                  <c:v>-459776.48999999976</c:v>
                </c:pt>
                <c:pt idx="18">
                  <c:v>-3724773.5</c:v>
                </c:pt>
                <c:pt idx="19">
                  <c:v>-3341976.63</c:v>
                </c:pt>
                <c:pt idx="20">
                  <c:v>-4476080.5</c:v>
                </c:pt>
              </c:numCache>
            </c:numRef>
          </c:val>
          <c:extLst>
            <c:ext xmlns:c16="http://schemas.microsoft.com/office/drawing/2014/chart" uri="{C3380CC4-5D6E-409C-BE32-E72D297353CC}">
              <c16:uniqueId val="{00000000-32E1-49A0-AAB5-D23C973463A7}"/>
            </c:ext>
          </c:extLst>
        </c:ser>
        <c:dLbls>
          <c:showLegendKey val="0"/>
          <c:showVal val="0"/>
          <c:showCatName val="0"/>
          <c:showSerName val="0"/>
          <c:showPercent val="0"/>
          <c:showBubbleSize val="0"/>
        </c:dLbls>
        <c:gapWidth val="219"/>
        <c:overlap val="-27"/>
        <c:axId val="1014467440"/>
        <c:axId val="1014467920"/>
      </c:barChart>
      <c:catAx>
        <c:axId val="1014467440"/>
        <c:scaling>
          <c:orientation val="minMax"/>
        </c:scaling>
        <c:delete val="0"/>
        <c:axPos val="b"/>
        <c:numFmt formatCode="m/d/yyyy"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14467920"/>
        <c:crosses val="autoZero"/>
        <c:auto val="0"/>
        <c:lblAlgn val="ctr"/>
        <c:lblOffset val="100"/>
        <c:noMultiLvlLbl val="0"/>
      </c:catAx>
      <c:valAx>
        <c:axId val="1014467920"/>
        <c:scaling>
          <c:orientation val="minMax"/>
          <c:max val="4000000"/>
          <c:min val="-1400000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1446744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[SAP dashboard.xlsx]Trading per border by Country!PivotTable1</c:name>
    <c:fmtId val="-1"/>
  </c:pivotSource>
  <c:chart>
    <c:autoTitleDeleted val="0"/>
    <c:pivotFmts>
      <c:pivotFmt>
        <c:idx val="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0"/>
          <c:order val="0"/>
          <c:tx>
            <c:strRef>
              <c:f>'Trading per border by Country'!$B$5:$B$6</c:f>
              <c:strCache>
                <c:ptCount val="1"/>
                <c:pt idx="0">
                  <c:v>Other Long Term</c:v>
                </c:pt>
              </c:strCache>
            </c:strRef>
          </c:tx>
          <c:spPr>
            <a:solidFill>
              <a:schemeClr val="accent1"/>
            </a:solidFill>
            <a:ln>
              <a:noFill/>
            </a:ln>
            <a:effectLst/>
          </c:spPr>
          <c:invertIfNegative val="0"/>
          <c:cat>
            <c:strRef>
              <c:f>'Trading per border by Country'!$A$7:$A$19</c:f>
              <c:strCache>
                <c:ptCount val="12"/>
                <c:pt idx="0">
                  <c:v>Estonia</c:v>
                </c:pt>
                <c:pt idx="1">
                  <c:v>Denmark</c:v>
                </c:pt>
                <c:pt idx="2">
                  <c:v>Lithuania</c:v>
                </c:pt>
                <c:pt idx="3">
                  <c:v>Norway</c:v>
                </c:pt>
                <c:pt idx="4">
                  <c:v>Switzerland</c:v>
                </c:pt>
                <c:pt idx="5">
                  <c:v>Czech Republic</c:v>
                </c:pt>
                <c:pt idx="6">
                  <c:v>Netherlands</c:v>
                </c:pt>
                <c:pt idx="7">
                  <c:v>United States</c:v>
                </c:pt>
                <c:pt idx="8">
                  <c:v>Spain</c:v>
                </c:pt>
                <c:pt idx="9">
                  <c:v>United Kingdom</c:v>
                </c:pt>
                <c:pt idx="10">
                  <c:v>Latvia</c:v>
                </c:pt>
                <c:pt idx="11">
                  <c:v>Greece</c:v>
                </c:pt>
              </c:strCache>
            </c:strRef>
          </c:cat>
          <c:val>
            <c:numRef>
              <c:f>'Trading per border by Country'!$B$7:$B$19</c:f>
              <c:numCache>
                <c:formatCode>General</c:formatCode>
                <c:ptCount val="12"/>
                <c:pt idx="0">
                  <c:v>12891208.18</c:v>
                </c:pt>
                <c:pt idx="1">
                  <c:v>9879639.6400000006</c:v>
                </c:pt>
                <c:pt idx="2">
                  <c:v>220224</c:v>
                </c:pt>
                <c:pt idx="3">
                  <c:v>766636.82</c:v>
                </c:pt>
                <c:pt idx="4">
                  <c:v>5106368.9800000004</c:v>
                </c:pt>
                <c:pt idx="5">
                  <c:v>151404</c:v>
                </c:pt>
                <c:pt idx="6">
                  <c:v>1085615.42</c:v>
                </c:pt>
                <c:pt idx="7">
                  <c:v>716335.28</c:v>
                </c:pt>
                <c:pt idx="8">
                  <c:v>570782.37</c:v>
                </c:pt>
                <c:pt idx="9">
                  <c:v>397742.4</c:v>
                </c:pt>
                <c:pt idx="10">
                  <c:v>336308.45</c:v>
                </c:pt>
                <c:pt idx="11">
                  <c:v>155117.29999999999</c:v>
                </c:pt>
              </c:numCache>
            </c:numRef>
          </c:val>
          <c:extLst>
            <c:ext xmlns:c16="http://schemas.microsoft.com/office/drawing/2014/chart" uri="{C3380CC4-5D6E-409C-BE32-E72D297353CC}">
              <c16:uniqueId val="{00000000-7AFC-4FC1-9DA7-30ED6310385A}"/>
            </c:ext>
          </c:extLst>
        </c:ser>
        <c:ser>
          <c:idx val="1"/>
          <c:order val="1"/>
          <c:tx>
            <c:strRef>
              <c:f>'Trading per border by Country'!$C$5:$C$6</c:f>
              <c:strCache>
                <c:ptCount val="1"/>
                <c:pt idx="0">
                  <c:v>Yearly</c:v>
                </c:pt>
              </c:strCache>
            </c:strRef>
          </c:tx>
          <c:spPr>
            <a:solidFill>
              <a:schemeClr val="accent2"/>
            </a:solidFill>
            <a:ln>
              <a:noFill/>
            </a:ln>
            <a:effectLst/>
          </c:spPr>
          <c:invertIfNegative val="0"/>
          <c:cat>
            <c:strRef>
              <c:f>'Trading per border by Country'!$A$7:$A$19</c:f>
              <c:strCache>
                <c:ptCount val="12"/>
                <c:pt idx="0">
                  <c:v>Estonia</c:v>
                </c:pt>
                <c:pt idx="1">
                  <c:v>Denmark</c:v>
                </c:pt>
                <c:pt idx="2">
                  <c:v>Lithuania</c:v>
                </c:pt>
                <c:pt idx="3">
                  <c:v>Norway</c:v>
                </c:pt>
                <c:pt idx="4">
                  <c:v>Switzerland</c:v>
                </c:pt>
                <c:pt idx="5">
                  <c:v>Czech Republic</c:v>
                </c:pt>
                <c:pt idx="6">
                  <c:v>Netherlands</c:v>
                </c:pt>
                <c:pt idx="7">
                  <c:v>United States</c:v>
                </c:pt>
                <c:pt idx="8">
                  <c:v>Spain</c:v>
                </c:pt>
                <c:pt idx="9">
                  <c:v>United Kingdom</c:v>
                </c:pt>
                <c:pt idx="10">
                  <c:v>Latvia</c:v>
                </c:pt>
                <c:pt idx="11">
                  <c:v>Greece</c:v>
                </c:pt>
              </c:strCache>
            </c:strRef>
          </c:cat>
          <c:val>
            <c:numRef>
              <c:f>'Trading per border by Country'!$C$7:$C$19</c:f>
              <c:numCache>
                <c:formatCode>General</c:formatCode>
                <c:ptCount val="12"/>
                <c:pt idx="0">
                  <c:v>55602720</c:v>
                </c:pt>
                <c:pt idx="1">
                  <c:v>13176000</c:v>
                </c:pt>
                <c:pt idx="2">
                  <c:v>13703040</c:v>
                </c:pt>
                <c:pt idx="3">
                  <c:v>7642080</c:v>
                </c:pt>
                <c:pt idx="4">
                  <c:v>790560</c:v>
                </c:pt>
                <c:pt idx="5">
                  <c:v>1317600</c:v>
                </c:pt>
              </c:numCache>
            </c:numRef>
          </c:val>
          <c:extLst>
            <c:ext xmlns:c16="http://schemas.microsoft.com/office/drawing/2014/chart" uri="{C3380CC4-5D6E-409C-BE32-E72D297353CC}">
              <c16:uniqueId val="{00000001-7AFC-4FC1-9DA7-30ED6310385A}"/>
            </c:ext>
          </c:extLst>
        </c:ser>
        <c:dLbls>
          <c:showLegendKey val="0"/>
          <c:showVal val="0"/>
          <c:showCatName val="0"/>
          <c:showSerName val="0"/>
          <c:showPercent val="0"/>
          <c:showBubbleSize val="0"/>
        </c:dLbls>
        <c:gapWidth val="219"/>
        <c:overlap val="-27"/>
        <c:axId val="1785757216"/>
        <c:axId val="1785750496"/>
      </c:barChart>
      <c:catAx>
        <c:axId val="1785757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5750496"/>
        <c:crosses val="autoZero"/>
        <c:auto val="1"/>
        <c:lblAlgn val="ctr"/>
        <c:lblOffset val="100"/>
        <c:noMultiLvlLbl val="0"/>
      </c:catAx>
      <c:valAx>
        <c:axId val="17857504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57572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[SAP dashboard.xlsx]Trading per border by Country!PivotTable1</c:name>
    <c:fmtId val="-1"/>
  </c:pivotSource>
  <c:chart>
    <c:autoTitleDeleted val="0"/>
    <c:pivotFmts>
      <c:pivotFmt>
        <c:idx val="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showLegendKey val="0"/>
          <c:showVal val="0"/>
          <c:showCatName val="0"/>
          <c:showSerName val="0"/>
          <c:showPercent val="0"/>
          <c:showBubbleSize val="0"/>
          <c:extLst>
            <c:ext xmlns:c15="http://schemas.microsoft.com/office/drawing/2012/chart" uri="{CE6537A1-D6FC-4f65-9D91-7224C49458BB}"/>
          </c:extLst>
        </c:dLbl>
      </c:pivotFmt>
      <c:pivotFmt>
        <c:idx val="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showLegendKey val="0"/>
          <c:showVal val="0"/>
          <c:showCatName val="0"/>
          <c:showSerName val="0"/>
          <c:showPercent val="0"/>
          <c:showBubbleSize val="0"/>
          <c:extLst>
            <c:ext xmlns:c15="http://schemas.microsoft.com/office/drawing/2012/chart" uri="{CE6537A1-D6FC-4f65-9D91-7224C49458BB}"/>
          </c:extLst>
        </c:dLbl>
      </c:pivotFmt>
      <c:pivotFmt>
        <c:idx val="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showLegendKey val="0"/>
          <c:showVal val="0"/>
          <c:showCatName val="0"/>
          <c:showSerName val="0"/>
          <c:showPercent val="0"/>
          <c:showBubbleSize val="0"/>
          <c:extLst>
            <c:ext xmlns:c15="http://schemas.microsoft.com/office/drawing/2012/chart" uri="{CE6537A1-D6FC-4f65-9D91-7224C49458BB}"/>
          </c:extLst>
        </c:dLbl>
      </c:pivotFmt>
      <c:pivotFmt>
        <c:idx val="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showLegendKey val="0"/>
          <c:showVal val="0"/>
          <c:showCatName val="0"/>
          <c:showSerName val="0"/>
          <c:showPercent val="0"/>
          <c:showBubbleSize val="0"/>
          <c:extLst>
            <c:ext xmlns:c15="http://schemas.microsoft.com/office/drawing/2012/chart" uri="{CE6537A1-D6FC-4f65-9D91-7224C49458BB}"/>
          </c:extLst>
        </c:dLbl>
      </c:pivotFmt>
      <c:pivotFmt>
        <c:idx val="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showLegendKey val="0"/>
          <c:showVal val="0"/>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0"/>
          <c:order val="0"/>
          <c:tx>
            <c:strRef>
              <c:f>'Trading per border by Country'!$B$5:$B$6</c:f>
              <c:strCache>
                <c:ptCount val="1"/>
                <c:pt idx="0">
                  <c:v>Other Long Term</c:v>
                </c:pt>
              </c:strCache>
            </c:strRef>
          </c:tx>
          <c:spPr>
            <a:solidFill>
              <a:schemeClr val="accent1"/>
            </a:solidFill>
            <a:ln>
              <a:noFill/>
            </a:ln>
            <a:effectLst/>
          </c:spPr>
          <c:invertIfNegative val="0"/>
          <c:cat>
            <c:strRef>
              <c:f>'Trading per border by Country'!$A$7:$A$23</c:f>
              <c:strCache>
                <c:ptCount val="16"/>
                <c:pt idx="0">
                  <c:v>Estonia</c:v>
                </c:pt>
                <c:pt idx="1">
                  <c:v>Denmark</c:v>
                </c:pt>
                <c:pt idx="2">
                  <c:v>Switzerland</c:v>
                </c:pt>
                <c:pt idx="3">
                  <c:v>Lithuania</c:v>
                </c:pt>
                <c:pt idx="4">
                  <c:v>Norway</c:v>
                </c:pt>
                <c:pt idx="5">
                  <c:v>Netherlands</c:v>
                </c:pt>
                <c:pt idx="6">
                  <c:v>United States</c:v>
                </c:pt>
                <c:pt idx="7">
                  <c:v>United Kingdom</c:v>
                </c:pt>
                <c:pt idx="8">
                  <c:v>Spain</c:v>
                </c:pt>
                <c:pt idx="9">
                  <c:v>Czech Republic</c:v>
                </c:pt>
                <c:pt idx="10">
                  <c:v>Ireland</c:v>
                </c:pt>
                <c:pt idx="11">
                  <c:v>Latvia</c:v>
                </c:pt>
                <c:pt idx="12">
                  <c:v>Greece</c:v>
                </c:pt>
                <c:pt idx="13">
                  <c:v>Singapore</c:v>
                </c:pt>
                <c:pt idx="14">
                  <c:v>Italy</c:v>
                </c:pt>
                <c:pt idx="15">
                  <c:v>Slovenia</c:v>
                </c:pt>
              </c:strCache>
            </c:strRef>
          </c:cat>
          <c:val>
            <c:numRef>
              <c:f>'Trading per border by Country'!$B$7:$B$23</c:f>
              <c:numCache>
                <c:formatCode>General</c:formatCode>
                <c:ptCount val="16"/>
                <c:pt idx="0">
                  <c:v>15947213.880000001</c:v>
                </c:pt>
                <c:pt idx="1">
                  <c:v>11305492.880000001</c:v>
                </c:pt>
                <c:pt idx="2">
                  <c:v>6511536.3399999999</c:v>
                </c:pt>
                <c:pt idx="3">
                  <c:v>284952</c:v>
                </c:pt>
                <c:pt idx="4">
                  <c:v>3189439.32</c:v>
                </c:pt>
                <c:pt idx="5">
                  <c:v>2216002.2000000002</c:v>
                </c:pt>
                <c:pt idx="6">
                  <c:v>2173873.42</c:v>
                </c:pt>
                <c:pt idx="7">
                  <c:v>2151372.2400000002</c:v>
                </c:pt>
                <c:pt idx="8">
                  <c:v>684246.82</c:v>
                </c:pt>
                <c:pt idx="10">
                  <c:v>388501.2</c:v>
                </c:pt>
                <c:pt idx="11">
                  <c:v>293932.08</c:v>
                </c:pt>
                <c:pt idx="12">
                  <c:v>288410.64</c:v>
                </c:pt>
                <c:pt idx="13">
                  <c:v>117106.8</c:v>
                </c:pt>
                <c:pt idx="14">
                  <c:v>73983.600000000006</c:v>
                </c:pt>
                <c:pt idx="15">
                  <c:v>9099.1200000000008</c:v>
                </c:pt>
              </c:numCache>
            </c:numRef>
          </c:val>
          <c:extLst>
            <c:ext xmlns:c16="http://schemas.microsoft.com/office/drawing/2014/chart" uri="{C3380CC4-5D6E-409C-BE32-E72D297353CC}">
              <c16:uniqueId val="{00000000-CC16-409C-BB5E-0663C4C285CD}"/>
            </c:ext>
          </c:extLst>
        </c:ser>
        <c:ser>
          <c:idx val="1"/>
          <c:order val="1"/>
          <c:tx>
            <c:strRef>
              <c:f>'Trading per border by Country'!$C$5:$C$6</c:f>
              <c:strCache>
                <c:ptCount val="1"/>
                <c:pt idx="0">
                  <c:v>Yearly</c:v>
                </c:pt>
              </c:strCache>
            </c:strRef>
          </c:tx>
          <c:spPr>
            <a:solidFill>
              <a:schemeClr val="accent2"/>
            </a:solidFill>
            <a:ln>
              <a:noFill/>
            </a:ln>
            <a:effectLst/>
          </c:spPr>
          <c:invertIfNegative val="0"/>
          <c:cat>
            <c:strRef>
              <c:f>'Trading per border by Country'!$A$7:$A$23</c:f>
              <c:strCache>
                <c:ptCount val="16"/>
                <c:pt idx="0">
                  <c:v>Estonia</c:v>
                </c:pt>
                <c:pt idx="1">
                  <c:v>Denmark</c:v>
                </c:pt>
                <c:pt idx="2">
                  <c:v>Switzerland</c:v>
                </c:pt>
                <c:pt idx="3">
                  <c:v>Lithuania</c:v>
                </c:pt>
                <c:pt idx="4">
                  <c:v>Norway</c:v>
                </c:pt>
                <c:pt idx="5">
                  <c:v>Netherlands</c:v>
                </c:pt>
                <c:pt idx="6">
                  <c:v>United States</c:v>
                </c:pt>
                <c:pt idx="7">
                  <c:v>United Kingdom</c:v>
                </c:pt>
                <c:pt idx="8">
                  <c:v>Spain</c:v>
                </c:pt>
                <c:pt idx="9">
                  <c:v>Czech Republic</c:v>
                </c:pt>
                <c:pt idx="10">
                  <c:v>Ireland</c:v>
                </c:pt>
                <c:pt idx="11">
                  <c:v>Latvia</c:v>
                </c:pt>
                <c:pt idx="12">
                  <c:v>Greece</c:v>
                </c:pt>
                <c:pt idx="13">
                  <c:v>Singapore</c:v>
                </c:pt>
                <c:pt idx="14">
                  <c:v>Italy</c:v>
                </c:pt>
                <c:pt idx="15">
                  <c:v>Slovenia</c:v>
                </c:pt>
              </c:strCache>
            </c:strRef>
          </c:cat>
          <c:val>
            <c:numRef>
              <c:f>'Trading per border by Country'!$C$7:$C$23</c:f>
              <c:numCache>
                <c:formatCode>General</c:formatCode>
                <c:ptCount val="16"/>
                <c:pt idx="0">
                  <c:v>39550699.200000003</c:v>
                </c:pt>
                <c:pt idx="1">
                  <c:v>22910466</c:v>
                </c:pt>
                <c:pt idx="2">
                  <c:v>7476046.7999999998</c:v>
                </c:pt>
                <c:pt idx="3">
                  <c:v>11816977.199999999</c:v>
                </c:pt>
                <c:pt idx="4">
                  <c:v>1688139.6</c:v>
                </c:pt>
                <c:pt idx="8">
                  <c:v>482325.6</c:v>
                </c:pt>
                <c:pt idx="9">
                  <c:v>482325.6</c:v>
                </c:pt>
              </c:numCache>
            </c:numRef>
          </c:val>
          <c:extLst>
            <c:ext xmlns:c16="http://schemas.microsoft.com/office/drawing/2014/chart" uri="{C3380CC4-5D6E-409C-BE32-E72D297353CC}">
              <c16:uniqueId val="{00000001-CC16-409C-BB5E-0663C4C285CD}"/>
            </c:ext>
          </c:extLst>
        </c:ser>
        <c:dLbls>
          <c:showLegendKey val="0"/>
          <c:showVal val="0"/>
          <c:showCatName val="0"/>
          <c:showSerName val="0"/>
          <c:showPercent val="0"/>
          <c:showBubbleSize val="0"/>
        </c:dLbls>
        <c:gapWidth val="219"/>
        <c:overlap val="-27"/>
        <c:axId val="1785757216"/>
        <c:axId val="1785750496"/>
      </c:barChart>
      <c:catAx>
        <c:axId val="1785757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5750496"/>
        <c:crosses val="autoZero"/>
        <c:auto val="1"/>
        <c:lblAlgn val="ctr"/>
        <c:lblOffset val="100"/>
        <c:noMultiLvlLbl val="0"/>
      </c:catAx>
      <c:valAx>
        <c:axId val="17857504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57572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EL2 outage</c:v>
          </c:tx>
          <c:spPr>
            <a:ln w="28575" cap="rnd">
              <a:solidFill>
                <a:schemeClr val="accent1"/>
              </a:solidFill>
              <a:round/>
            </a:ln>
            <a:effectLst/>
          </c:spPr>
          <c:marker>
            <c:symbol val="none"/>
          </c:marker>
          <c:cat>
            <c:numRef>
              <c:f>Sheet1!$B$4:$B$23</c:f>
              <c:numCache>
                <c:formatCode>General</c:formatCode>
                <c:ptCount val="20"/>
                <c:pt idx="0">
                  <c:v>10</c:v>
                </c:pt>
                <c:pt idx="1">
                  <c:v>20</c:v>
                </c:pt>
                <c:pt idx="2">
                  <c:v>30</c:v>
                </c:pt>
                <c:pt idx="3">
                  <c:v>40</c:v>
                </c:pt>
                <c:pt idx="4">
                  <c:v>50</c:v>
                </c:pt>
                <c:pt idx="5">
                  <c:v>60</c:v>
                </c:pt>
                <c:pt idx="6">
                  <c:v>70</c:v>
                </c:pt>
                <c:pt idx="7">
                  <c:v>80</c:v>
                </c:pt>
                <c:pt idx="8">
                  <c:v>90</c:v>
                </c:pt>
                <c:pt idx="9">
                  <c:v>100</c:v>
                </c:pt>
                <c:pt idx="10">
                  <c:v>110</c:v>
                </c:pt>
                <c:pt idx="11">
                  <c:v>120</c:v>
                </c:pt>
                <c:pt idx="12">
                  <c:v>130</c:v>
                </c:pt>
                <c:pt idx="13">
                  <c:v>140</c:v>
                </c:pt>
                <c:pt idx="14">
                  <c:v>150</c:v>
                </c:pt>
                <c:pt idx="15">
                  <c:v>160</c:v>
                </c:pt>
                <c:pt idx="16">
                  <c:v>170</c:v>
                </c:pt>
                <c:pt idx="17">
                  <c:v>180</c:v>
                </c:pt>
                <c:pt idx="18">
                  <c:v>190</c:v>
                </c:pt>
                <c:pt idx="19">
                  <c:v>200</c:v>
                </c:pt>
              </c:numCache>
            </c:numRef>
          </c:cat>
          <c:val>
            <c:numRef>
              <c:f>Sheet1!$D$4:$D$23</c:f>
              <c:numCache>
                <c:formatCode>General</c:formatCode>
                <c:ptCount val="20"/>
                <c:pt idx="0">
                  <c:v>1.08</c:v>
                </c:pt>
                <c:pt idx="1">
                  <c:v>2.16</c:v>
                </c:pt>
                <c:pt idx="2">
                  <c:v>3.24</c:v>
                </c:pt>
                <c:pt idx="3">
                  <c:v>4.32</c:v>
                </c:pt>
                <c:pt idx="4">
                  <c:v>5.4</c:v>
                </c:pt>
                <c:pt idx="5">
                  <c:v>6.48</c:v>
                </c:pt>
                <c:pt idx="6">
                  <c:v>7.56</c:v>
                </c:pt>
                <c:pt idx="7">
                  <c:v>8.64</c:v>
                </c:pt>
                <c:pt idx="8">
                  <c:v>9.7200000000000006</c:v>
                </c:pt>
                <c:pt idx="9">
                  <c:v>10.8</c:v>
                </c:pt>
                <c:pt idx="10">
                  <c:v>11.88</c:v>
                </c:pt>
                <c:pt idx="11">
                  <c:v>12.96</c:v>
                </c:pt>
                <c:pt idx="12">
                  <c:v>14.04</c:v>
                </c:pt>
                <c:pt idx="13">
                  <c:v>15.12</c:v>
                </c:pt>
                <c:pt idx="14">
                  <c:v>16.2</c:v>
                </c:pt>
                <c:pt idx="15">
                  <c:v>17.28</c:v>
                </c:pt>
                <c:pt idx="16">
                  <c:v>18.36</c:v>
                </c:pt>
                <c:pt idx="17">
                  <c:v>19.440000000000001</c:v>
                </c:pt>
                <c:pt idx="18">
                  <c:v>20.52</c:v>
                </c:pt>
                <c:pt idx="19">
                  <c:v>21.6</c:v>
                </c:pt>
              </c:numCache>
            </c:numRef>
          </c:val>
          <c:smooth val="0"/>
          <c:extLst>
            <c:ext xmlns:c16="http://schemas.microsoft.com/office/drawing/2014/chart" uri="{C3380CC4-5D6E-409C-BE32-E72D297353CC}">
              <c16:uniqueId val="{00000000-A380-4B68-AE39-91A87ADFCF45}"/>
            </c:ext>
          </c:extLst>
        </c:ser>
        <c:ser>
          <c:idx val="1"/>
          <c:order val="1"/>
          <c:tx>
            <c:v>EL1 and EL2 outage</c:v>
          </c:tx>
          <c:spPr>
            <a:ln w="28575" cap="rnd">
              <a:solidFill>
                <a:schemeClr val="accent2"/>
              </a:solidFill>
              <a:round/>
            </a:ln>
            <a:effectLst/>
          </c:spPr>
          <c:marker>
            <c:symbol val="none"/>
          </c:marker>
          <c:cat>
            <c:numRef>
              <c:f>Sheet1!$B$4:$B$23</c:f>
              <c:numCache>
                <c:formatCode>General</c:formatCode>
                <c:ptCount val="20"/>
                <c:pt idx="0">
                  <c:v>10</c:v>
                </c:pt>
                <c:pt idx="1">
                  <c:v>20</c:v>
                </c:pt>
                <c:pt idx="2">
                  <c:v>30</c:v>
                </c:pt>
                <c:pt idx="3">
                  <c:v>40</c:v>
                </c:pt>
                <c:pt idx="4">
                  <c:v>50</c:v>
                </c:pt>
                <c:pt idx="5">
                  <c:v>60</c:v>
                </c:pt>
                <c:pt idx="6">
                  <c:v>70</c:v>
                </c:pt>
                <c:pt idx="7">
                  <c:v>80</c:v>
                </c:pt>
                <c:pt idx="8">
                  <c:v>90</c:v>
                </c:pt>
                <c:pt idx="9">
                  <c:v>100</c:v>
                </c:pt>
                <c:pt idx="10">
                  <c:v>110</c:v>
                </c:pt>
                <c:pt idx="11">
                  <c:v>120</c:v>
                </c:pt>
                <c:pt idx="12">
                  <c:v>130</c:v>
                </c:pt>
                <c:pt idx="13">
                  <c:v>140</c:v>
                </c:pt>
                <c:pt idx="14">
                  <c:v>150</c:v>
                </c:pt>
                <c:pt idx="15">
                  <c:v>160</c:v>
                </c:pt>
                <c:pt idx="16">
                  <c:v>170</c:v>
                </c:pt>
                <c:pt idx="17">
                  <c:v>180</c:v>
                </c:pt>
                <c:pt idx="18">
                  <c:v>190</c:v>
                </c:pt>
                <c:pt idx="19">
                  <c:v>200</c:v>
                </c:pt>
              </c:numCache>
            </c:numRef>
          </c:cat>
          <c:val>
            <c:numRef>
              <c:f>Sheet1!$E$4:$E$23</c:f>
              <c:numCache>
                <c:formatCode>General</c:formatCode>
                <c:ptCount val="20"/>
                <c:pt idx="0">
                  <c:v>9.9</c:v>
                </c:pt>
                <c:pt idx="1">
                  <c:v>19.8</c:v>
                </c:pt>
                <c:pt idx="2">
                  <c:v>29.7</c:v>
                </c:pt>
                <c:pt idx="3">
                  <c:v>39.6</c:v>
                </c:pt>
                <c:pt idx="4">
                  <c:v>49.5</c:v>
                </c:pt>
                <c:pt idx="5">
                  <c:v>59.4</c:v>
                </c:pt>
                <c:pt idx="6">
                  <c:v>69.3</c:v>
                </c:pt>
                <c:pt idx="7">
                  <c:v>79.2</c:v>
                </c:pt>
                <c:pt idx="8">
                  <c:v>89.1</c:v>
                </c:pt>
                <c:pt idx="9">
                  <c:v>99</c:v>
                </c:pt>
                <c:pt idx="10">
                  <c:v>108.9</c:v>
                </c:pt>
                <c:pt idx="11">
                  <c:v>118.8</c:v>
                </c:pt>
                <c:pt idx="12">
                  <c:v>128.69999999999999</c:v>
                </c:pt>
                <c:pt idx="13">
                  <c:v>138.6</c:v>
                </c:pt>
                <c:pt idx="14">
                  <c:v>148.5</c:v>
                </c:pt>
                <c:pt idx="15">
                  <c:v>158.4</c:v>
                </c:pt>
                <c:pt idx="16">
                  <c:v>168.3</c:v>
                </c:pt>
                <c:pt idx="17">
                  <c:v>178.2</c:v>
                </c:pt>
                <c:pt idx="18">
                  <c:v>188.1</c:v>
                </c:pt>
                <c:pt idx="19">
                  <c:v>198</c:v>
                </c:pt>
              </c:numCache>
            </c:numRef>
          </c:val>
          <c:smooth val="0"/>
          <c:extLst>
            <c:ext xmlns:c16="http://schemas.microsoft.com/office/drawing/2014/chart" uri="{C3380CC4-5D6E-409C-BE32-E72D297353CC}">
              <c16:uniqueId val="{00000001-A380-4B68-AE39-91A87ADFCF45}"/>
            </c:ext>
          </c:extLst>
        </c:ser>
        <c:dLbls>
          <c:showLegendKey val="0"/>
          <c:showVal val="0"/>
          <c:showCatName val="0"/>
          <c:showSerName val="0"/>
          <c:showPercent val="0"/>
          <c:showBubbleSize val="0"/>
        </c:dLbls>
        <c:smooth val="0"/>
        <c:axId val="1770019360"/>
        <c:axId val="1770019840"/>
      </c:lineChart>
      <c:catAx>
        <c:axId val="177001936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EE-FI </a:t>
                </a:r>
                <a:r>
                  <a:rPr lang="et-EE"/>
                  <a:t>day-ahead market price spread</a:t>
                </a:r>
                <a:r>
                  <a:rPr lang="en-US"/>
                  <a:t>, €/MWh</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t-EE"/>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770019840"/>
        <c:crosses val="autoZero"/>
        <c:auto val="1"/>
        <c:lblAlgn val="ctr"/>
        <c:lblOffset val="100"/>
        <c:noMultiLvlLbl val="0"/>
      </c:catAx>
      <c:valAx>
        <c:axId val="17700198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t-EE"/>
                  <a:t>Cost per</a:t>
                </a:r>
                <a:r>
                  <a:rPr lang="et-EE" baseline="0"/>
                  <a:t> TSO</a:t>
                </a:r>
                <a:r>
                  <a:rPr lang="en-US"/>
                  <a:t>, MEUR</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t-E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7700193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F7C42AFDE88A40B5DE8F8C6561BF28" ma:contentTypeVersion="18" ma:contentTypeDescription="Create a new document." ma:contentTypeScope="" ma:versionID="e2d9d6024399eb8ac463f8954cfcd3f5">
  <xsd:schema xmlns:xsd="http://www.w3.org/2001/XMLSchema" xmlns:xs="http://www.w3.org/2001/XMLSchema" xmlns:p="http://schemas.microsoft.com/office/2006/metadata/properties" xmlns:ns2="e31ff916-cf36-4815-8f59-066548a5c626" xmlns:ns3="76a396e9-683e-4e80-a146-12c21ed12d13" targetNamespace="http://schemas.microsoft.com/office/2006/metadata/properties" ma:root="true" ma:fieldsID="d3a8298e88b5ca5b77d5749b0ccccac6" ns2:_="" ns3:_="">
    <xsd:import namespace="e31ff916-cf36-4815-8f59-066548a5c626"/>
    <xsd:import namespace="76a396e9-683e-4e80-a146-12c21ed12d1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1ff916-cf36-4815-8f59-066548a5c6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c9fa8c6-3661-45c4-a12f-a9611ac3d790"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descriptio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a396e9-683e-4e80-a146-12c21ed12d1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fdb60cd-b06e-4905-bb6c-c9c9a22fc250}" ma:internalName="TaxCatchAll" ma:showField="CatchAllData" ma:web="76a396e9-683e-4e80-a146-12c21ed12d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6a396e9-683e-4e80-a146-12c21ed12d13" xsi:nil="true"/>
    <lcf76f155ced4ddcb4097134ff3c332f xmlns="e31ff916-cf36-4815-8f59-066548a5c62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31B396-5E43-40BF-85BB-570C214267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1ff916-cf36-4815-8f59-066548a5c626"/>
    <ds:schemaRef ds:uri="76a396e9-683e-4e80-a146-12c21ed12d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DAFE5D-6675-4036-94D6-1ABEC1125036}">
  <ds:schemaRefs>
    <ds:schemaRef ds:uri="http://schemas.microsoft.com/office/2006/metadata/properties"/>
    <ds:schemaRef ds:uri="http://schemas.microsoft.com/office/infopath/2007/PartnerControls"/>
    <ds:schemaRef ds:uri="76a396e9-683e-4e80-a146-12c21ed12d13"/>
    <ds:schemaRef ds:uri="e31ff916-cf36-4815-8f59-066548a5c626"/>
  </ds:schemaRefs>
</ds:datastoreItem>
</file>

<file path=customXml/itemProps3.xml><?xml version="1.0" encoding="utf-8"?>
<ds:datastoreItem xmlns:ds="http://schemas.openxmlformats.org/officeDocument/2006/customXml" ds:itemID="{A7555713-BD99-465A-BFBA-AFD9B52B47A0}">
  <ds:schemaRefs>
    <ds:schemaRef ds:uri="http://schemas.microsoft.com/sharepoint/v3/contenttype/forms"/>
  </ds:schemaRefs>
</ds:datastoreItem>
</file>

<file path=customXml/itemProps4.xml><?xml version="1.0" encoding="utf-8"?>
<ds:datastoreItem xmlns:ds="http://schemas.openxmlformats.org/officeDocument/2006/customXml" ds:itemID="{5F3575D2-E644-45E1-9A20-74F4B80B2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TotalTime>
  <Pages>11</Pages>
  <Words>3379</Words>
  <Characters>19604</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Kalvis Ertmanis</dc:creator>
  <cp:keywords/>
  <cp:lastModifiedBy>Airi Noor</cp:lastModifiedBy>
  <cp:revision>4</cp:revision>
  <dcterms:created xsi:type="dcterms:W3CDTF">2026-04-02T09:22:00Z</dcterms:created>
  <dcterms:modified xsi:type="dcterms:W3CDTF">2026-04-02T16:58:00Z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6354b4e0736de49917b34d9ce0fde47bf9e132a399154016ee783f5d2a54a9c0</vt:lpwstr>
  </property>
  <property fmtid="{D5CDD505-2E9C-101B-9397-08002B2CF9AE}" pid="3" name="MSIP_Label_66cffd26-8a8e-4271-ae8c-0448cc98c6fa_ActionId">
    <vt:lpwstr>17248ec9-c2c7-4a63-acaf-1b9675365b77</vt:lpwstr>
  </property>
  <property fmtid="{D5CDD505-2E9C-101B-9397-08002B2CF9AE}" pid="4" name="MSIP_Label_66cffd26-8a8e-4271-ae8c-0448cc98c6fa_ContentBits">
    <vt:lpwstr>0</vt:lpwstr>
  </property>
  <property fmtid="{D5CDD505-2E9C-101B-9397-08002B2CF9AE}" pid="5" name="MSIP_Label_66cffd26-8a8e-4271-ae8c-0448cc98c6fa_Enabled">
    <vt:lpwstr>true</vt:lpwstr>
  </property>
  <property fmtid="{D5CDD505-2E9C-101B-9397-08002B2CF9AE}" pid="6" name="MSIP_Label_66cffd26-8a8e-4271-ae8c-0448cc98c6fa_Method">
    <vt:lpwstr>Standard</vt:lpwstr>
  </property>
  <property fmtid="{D5CDD505-2E9C-101B-9397-08002B2CF9AE}" pid="7" name="MSIP_Label_66cffd26-8a8e-4271-ae8c-0448cc98c6fa_Name">
    <vt:lpwstr>AST dokumenti</vt:lpwstr>
  </property>
  <property fmtid="{D5CDD505-2E9C-101B-9397-08002B2CF9AE}" pid="8" name="MSIP_Label_66cffd26-8a8e-4271-ae8c-0448cc98c6fa_SetDate">
    <vt:lpwstr>2024-03-26T10:34:49Z</vt:lpwstr>
  </property>
  <property fmtid="{D5CDD505-2E9C-101B-9397-08002B2CF9AE}" pid="9" name="MSIP_Label_66cffd26-8a8e-4271-ae8c-0448cc98c6fa_SiteId">
    <vt:lpwstr>c4c0dd7c-1dfb-4088-9303-96b608da35b3</vt:lpwstr>
  </property>
  <property fmtid="{D5CDD505-2E9C-101B-9397-08002B2CF9AE}" pid="10" name="ContentTypeId">
    <vt:lpwstr>0x01010034F7C42AFDE88A40B5DE8F8C6561BF28</vt:lpwstr>
  </property>
</Properties>
</file>