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81A94" w:rsidR="00E774A7" w:rsidP="0ED95621" w:rsidRDefault="00E774A7" w14:paraId="08BC23BB" w14:textId="41C001A9">
      <w:pPr>
        <w:pStyle w:val="BodyText"/>
        <w:ind w:left="0" w:firstLine="0"/>
        <w:jc w:val="left"/>
        <w:rPr>
          <w:b w:val="1"/>
          <w:bCs w:val="1"/>
          <w:color w:val="FF0000"/>
        </w:rPr>
      </w:pPr>
      <w:r w:rsidRPr="0ED95621" w:rsidR="08FCE5EF">
        <w:rPr>
          <w:b w:val="1"/>
          <w:bCs w:val="1"/>
          <w:color w:val="FF0000"/>
        </w:rPr>
        <w:t xml:space="preserve">Please note that this is an unofficial translation. The original Estonian version, approved by the Competition Authority, </w:t>
      </w:r>
      <w:r w:rsidRPr="0ED95621" w:rsidR="08FCE5EF">
        <w:rPr>
          <w:b w:val="1"/>
          <w:bCs w:val="1"/>
          <w:color w:val="FF0000"/>
        </w:rPr>
        <w:t>remains</w:t>
      </w:r>
      <w:r w:rsidRPr="0ED95621" w:rsidR="08FCE5EF">
        <w:rPr>
          <w:b w:val="1"/>
          <w:bCs w:val="1"/>
          <w:color w:val="FF0000"/>
        </w:rPr>
        <w:t xml:space="preserve"> the legally binding document.</w:t>
      </w:r>
    </w:p>
    <w:p w:rsidRPr="00481A94" w:rsidR="00E774A7" w:rsidRDefault="00E774A7" w14:paraId="34B37D99" w14:textId="77777777">
      <w:pPr>
        <w:pStyle w:val="BodyText"/>
        <w:spacing w:before="265"/>
        <w:ind w:left="0" w:firstLine="0"/>
        <w:jc w:val="left"/>
        <w:rPr>
          <w:b/>
        </w:rPr>
      </w:pPr>
    </w:p>
    <w:p w:rsidRPr="00481A94" w:rsidR="00E774A7" w:rsidRDefault="00DE5F62" w14:paraId="64E6270E" w14:textId="77777777">
      <w:pPr>
        <w:ind w:left="358" w:right="359"/>
        <w:jc w:val="center"/>
        <w:rPr>
          <w:b/>
          <w:sz w:val="24"/>
        </w:rPr>
      </w:pPr>
      <w:r w:rsidRPr="00481A94">
        <w:rPr>
          <w:b/>
          <w:sz w:val="24"/>
          <w:lang w:bidi="en-US"/>
        </w:rPr>
        <w:t xml:space="preserve">Elering </w:t>
      </w:r>
      <w:r w:rsidRPr="00481A94">
        <w:rPr>
          <w:b/>
          <w:spacing w:val="-5"/>
          <w:sz w:val="24"/>
          <w:lang w:bidi="en-US"/>
        </w:rPr>
        <w:t>AS</w:t>
      </w:r>
    </w:p>
    <w:p w:rsidRPr="00481A94" w:rsidR="00E774A7" w:rsidRDefault="00DE5F62" w14:paraId="6C752112" w14:textId="77777777">
      <w:pPr>
        <w:ind w:left="359" w:right="1"/>
        <w:jc w:val="center"/>
        <w:rPr>
          <w:b/>
          <w:sz w:val="24"/>
        </w:rPr>
      </w:pPr>
      <w:r w:rsidRPr="00481A94">
        <w:rPr>
          <w:b/>
          <w:sz w:val="24"/>
          <w:lang w:bidi="en-US"/>
        </w:rPr>
        <w:t>STANDARD TERMS AND CONDITIONS FOR THE PROVISION OF THE AUTOMATICALLY ACTIVATED FREQUENCY RESTORATION RESERVE (aFRR) SERVICE</w:t>
      </w:r>
    </w:p>
    <w:sdt>
      <w:sdtPr>
        <w:rPr>
          <w:sz w:val="22"/>
          <w:szCs w:val="22"/>
        </w:rPr>
        <w:id w:val="91447146"/>
        <w:docPartObj>
          <w:docPartGallery w:val="Table of Contents"/>
          <w:docPartUnique/>
        </w:docPartObj>
      </w:sdtPr>
      <w:sdtEndPr>
        <w:rPr>
          <w:sz w:val="22"/>
          <w:szCs w:val="22"/>
        </w:rPr>
      </w:sdtEndPr>
      <w:sdtContent>
        <w:p w:rsidRPr="00481A94" w:rsidR="00481A94" w:rsidRDefault="00DE5F62" w14:paraId="6341482D" w14:textId="0AC654B9">
          <w:pPr>
            <w:pStyle w:val="TOC1"/>
            <w:tabs>
              <w:tab w:val="right" w:leader="dot" w:pos="9300"/>
            </w:tabs>
            <w:rPr>
              <w:rFonts w:asciiTheme="minorHAnsi" w:hAnsiTheme="minorHAnsi" w:eastAsiaTheme="minorEastAsia" w:cstheme="minorBidi"/>
              <w:kern w:val="2"/>
              <w14:ligatures w14:val="standardContextual"/>
            </w:rPr>
          </w:pPr>
          <w:r w:rsidRPr="00481A94">
            <w:rPr>
              <w:lang w:bidi="en-US"/>
            </w:rPr>
            <w:fldChar w:fldCharType="begin"/>
          </w:r>
          <w:r w:rsidRPr="00481A94">
            <w:rPr>
              <w:lang w:bidi="en-US"/>
            </w:rPr>
            <w:instrText xml:space="preserve">TOC \o "1-1" \h \z \u </w:instrText>
          </w:r>
          <w:r w:rsidRPr="00481A94">
            <w:rPr>
              <w:lang w:bidi="en-US"/>
            </w:rPr>
            <w:fldChar w:fldCharType="separate"/>
          </w:r>
          <w:hyperlink w:history="1" w:anchor="_Toc197076264">
            <w:r w:rsidRPr="00481A94" w:rsidR="00481A94">
              <w:rPr>
                <w:rStyle w:val="Hyperlink"/>
              </w:rPr>
              <w:t>1.</w:t>
            </w:r>
            <w:r w:rsidRPr="00481A94" w:rsidR="00481A94">
              <w:rPr>
                <w:rFonts w:asciiTheme="minorHAnsi" w:hAnsiTheme="minorHAnsi" w:eastAsiaTheme="minorEastAsia" w:cstheme="minorBidi"/>
                <w:kern w:val="2"/>
                <w14:ligatures w14:val="standardContextual"/>
              </w:rPr>
              <w:tab/>
            </w:r>
            <w:r w:rsidRPr="00481A94" w:rsidR="00481A94">
              <w:rPr>
                <w:rStyle w:val="Hyperlink"/>
                <w:spacing w:val="-2"/>
                <w:lang w:bidi="en-US"/>
              </w:rPr>
              <w:t>General Provisions</w:t>
            </w:r>
            <w:r w:rsidRPr="00481A94" w:rsidR="00481A94">
              <w:rPr>
                <w:webHidden/>
              </w:rPr>
              <w:tab/>
            </w:r>
            <w:r w:rsidRPr="00481A94" w:rsidR="00481A94">
              <w:rPr>
                <w:webHidden/>
              </w:rPr>
              <w:fldChar w:fldCharType="begin"/>
            </w:r>
            <w:r w:rsidRPr="00481A94" w:rsidR="00481A94">
              <w:rPr>
                <w:webHidden/>
              </w:rPr>
              <w:instrText xml:space="preserve"> PAGEREF _Toc197076264 \h </w:instrText>
            </w:r>
            <w:r w:rsidRPr="00481A94" w:rsidR="00481A94">
              <w:rPr>
                <w:webHidden/>
              </w:rPr>
            </w:r>
            <w:r w:rsidRPr="00481A94" w:rsidR="00481A94">
              <w:rPr>
                <w:webHidden/>
              </w:rPr>
              <w:fldChar w:fldCharType="separate"/>
            </w:r>
            <w:r w:rsidRPr="00481A94" w:rsidR="00481A94">
              <w:rPr>
                <w:webHidden/>
              </w:rPr>
              <w:t>1</w:t>
            </w:r>
            <w:r w:rsidRPr="00481A94" w:rsidR="00481A94">
              <w:rPr>
                <w:webHidden/>
              </w:rPr>
              <w:fldChar w:fldCharType="end"/>
            </w:r>
          </w:hyperlink>
        </w:p>
        <w:p w:rsidRPr="00481A94" w:rsidR="00481A94" w:rsidRDefault="00481A94" w14:paraId="5A7AD910" w14:textId="638BEF60">
          <w:pPr>
            <w:pStyle w:val="TOC1"/>
            <w:tabs>
              <w:tab w:val="right" w:leader="dot" w:pos="9300"/>
            </w:tabs>
            <w:rPr>
              <w:rFonts w:asciiTheme="minorHAnsi" w:hAnsiTheme="minorHAnsi" w:eastAsiaTheme="minorEastAsia" w:cstheme="minorBidi"/>
              <w:kern w:val="2"/>
              <w14:ligatures w14:val="standardContextual"/>
            </w:rPr>
          </w:pPr>
          <w:hyperlink w:history="1" w:anchor="_Toc197076265">
            <w:r w:rsidRPr="00481A94">
              <w:rPr>
                <w:rStyle w:val="Hyperlink"/>
              </w:rPr>
              <w:t>2.</w:t>
            </w:r>
            <w:r w:rsidRPr="00481A94">
              <w:rPr>
                <w:rFonts w:asciiTheme="minorHAnsi" w:hAnsiTheme="minorHAnsi" w:eastAsiaTheme="minorEastAsia" w:cstheme="minorBidi"/>
                <w:kern w:val="2"/>
                <w14:ligatures w14:val="standardContextual"/>
              </w:rPr>
              <w:tab/>
            </w:r>
            <w:r w:rsidRPr="00481A94">
              <w:rPr>
                <w:rStyle w:val="Hyperlink"/>
                <w:spacing w:val="-2"/>
                <w:lang w:bidi="en-US"/>
              </w:rPr>
              <w:t>Definitions</w:t>
            </w:r>
            <w:r w:rsidRPr="00481A94">
              <w:rPr>
                <w:webHidden/>
              </w:rPr>
              <w:tab/>
            </w:r>
            <w:r w:rsidRPr="00481A94">
              <w:rPr>
                <w:webHidden/>
              </w:rPr>
              <w:fldChar w:fldCharType="begin"/>
            </w:r>
            <w:r w:rsidRPr="00481A94">
              <w:rPr>
                <w:webHidden/>
              </w:rPr>
              <w:instrText xml:space="preserve"> PAGEREF _Toc197076265 \h </w:instrText>
            </w:r>
            <w:r w:rsidRPr="00481A94">
              <w:rPr>
                <w:webHidden/>
              </w:rPr>
            </w:r>
            <w:r w:rsidRPr="00481A94">
              <w:rPr>
                <w:webHidden/>
              </w:rPr>
              <w:fldChar w:fldCharType="separate"/>
            </w:r>
            <w:r w:rsidRPr="00481A94">
              <w:rPr>
                <w:webHidden/>
              </w:rPr>
              <w:t>2</w:t>
            </w:r>
            <w:r w:rsidRPr="00481A94">
              <w:rPr>
                <w:webHidden/>
              </w:rPr>
              <w:fldChar w:fldCharType="end"/>
            </w:r>
          </w:hyperlink>
        </w:p>
        <w:p w:rsidRPr="00481A94" w:rsidR="00481A94" w:rsidRDefault="00481A94" w14:paraId="35E6182D" w14:textId="3F4E7FB4">
          <w:pPr>
            <w:pStyle w:val="TOC1"/>
            <w:tabs>
              <w:tab w:val="right" w:leader="dot" w:pos="9300"/>
            </w:tabs>
            <w:rPr>
              <w:rFonts w:asciiTheme="minorHAnsi" w:hAnsiTheme="minorHAnsi" w:eastAsiaTheme="minorEastAsia" w:cstheme="minorBidi"/>
              <w:kern w:val="2"/>
              <w14:ligatures w14:val="standardContextual"/>
            </w:rPr>
          </w:pPr>
          <w:hyperlink w:history="1" w:anchor="_Toc197076266">
            <w:r w:rsidRPr="00481A94">
              <w:rPr>
                <w:rStyle w:val="Hyperlink"/>
              </w:rPr>
              <w:t>3.</w:t>
            </w:r>
            <w:r w:rsidRPr="00481A94">
              <w:rPr>
                <w:rFonts w:asciiTheme="minorHAnsi" w:hAnsiTheme="minorHAnsi" w:eastAsiaTheme="minorEastAsia" w:cstheme="minorBidi"/>
                <w:kern w:val="2"/>
                <w14:ligatures w14:val="standardContextual"/>
              </w:rPr>
              <w:tab/>
            </w:r>
            <w:r w:rsidRPr="00481A94">
              <w:rPr>
                <w:rStyle w:val="Hyperlink"/>
                <w:lang w:bidi="en-US"/>
              </w:rPr>
              <w:t xml:space="preserve">Conclusion of Balancing Service Agreement and </w:t>
            </w:r>
            <w:r w:rsidRPr="00481A94">
              <w:rPr>
                <w:rStyle w:val="Hyperlink"/>
                <w:spacing w:val="-2"/>
                <w:lang w:bidi="en-US"/>
              </w:rPr>
              <w:t>Prequalification</w:t>
            </w:r>
            <w:r w:rsidRPr="00481A94">
              <w:rPr>
                <w:rStyle w:val="Hyperlink"/>
                <w:lang w:bidi="en-US"/>
              </w:rPr>
              <w:t xml:space="preserve"> of Reserve Units</w:t>
            </w:r>
            <w:r w:rsidRPr="00481A94">
              <w:rPr>
                <w:webHidden/>
              </w:rPr>
              <w:tab/>
            </w:r>
            <w:r w:rsidRPr="00481A94">
              <w:rPr>
                <w:webHidden/>
              </w:rPr>
              <w:fldChar w:fldCharType="begin"/>
            </w:r>
            <w:r w:rsidRPr="00481A94">
              <w:rPr>
                <w:webHidden/>
              </w:rPr>
              <w:instrText xml:space="preserve"> PAGEREF _Toc197076266 \h </w:instrText>
            </w:r>
            <w:r w:rsidRPr="00481A94">
              <w:rPr>
                <w:webHidden/>
              </w:rPr>
            </w:r>
            <w:r w:rsidRPr="00481A94">
              <w:rPr>
                <w:webHidden/>
              </w:rPr>
              <w:fldChar w:fldCharType="separate"/>
            </w:r>
            <w:r w:rsidRPr="00481A94">
              <w:rPr>
                <w:webHidden/>
              </w:rPr>
              <w:t>5</w:t>
            </w:r>
            <w:r w:rsidRPr="00481A94">
              <w:rPr>
                <w:webHidden/>
              </w:rPr>
              <w:fldChar w:fldCharType="end"/>
            </w:r>
          </w:hyperlink>
        </w:p>
        <w:p w:rsidRPr="00481A94" w:rsidR="00481A94" w:rsidRDefault="00481A94" w14:paraId="573A3643" w14:textId="2FC110D8">
          <w:pPr>
            <w:pStyle w:val="TOC1"/>
            <w:tabs>
              <w:tab w:val="right" w:leader="dot" w:pos="9300"/>
            </w:tabs>
            <w:rPr>
              <w:rFonts w:asciiTheme="minorHAnsi" w:hAnsiTheme="minorHAnsi" w:eastAsiaTheme="minorEastAsia" w:cstheme="minorBidi"/>
              <w:kern w:val="2"/>
              <w14:ligatures w14:val="standardContextual"/>
            </w:rPr>
          </w:pPr>
          <w:hyperlink w:history="1" w:anchor="_Toc197076267">
            <w:r w:rsidRPr="00481A94">
              <w:rPr>
                <w:rStyle w:val="Hyperlink"/>
              </w:rPr>
              <w:t>4.</w:t>
            </w:r>
            <w:r w:rsidRPr="00481A94">
              <w:rPr>
                <w:rFonts w:asciiTheme="minorHAnsi" w:hAnsiTheme="minorHAnsi" w:eastAsiaTheme="minorEastAsia" w:cstheme="minorBidi"/>
                <w:kern w:val="2"/>
                <w14:ligatures w14:val="standardContextual"/>
              </w:rPr>
              <w:tab/>
            </w:r>
            <w:r w:rsidRPr="00481A94">
              <w:rPr>
                <w:rStyle w:val="Hyperlink"/>
                <w:spacing w:val="-2"/>
                <w:lang w:bidi="en-US"/>
              </w:rPr>
              <w:t>Procurement of</w:t>
            </w:r>
            <w:r w:rsidRPr="00481A94">
              <w:rPr>
                <w:rStyle w:val="Hyperlink"/>
                <w:lang w:bidi="en-US"/>
              </w:rPr>
              <w:t xml:space="preserve"> Balancing Capacity</w:t>
            </w:r>
            <w:r w:rsidRPr="00481A94">
              <w:rPr>
                <w:webHidden/>
              </w:rPr>
              <w:tab/>
            </w:r>
            <w:r w:rsidRPr="00481A94">
              <w:rPr>
                <w:webHidden/>
              </w:rPr>
              <w:fldChar w:fldCharType="begin"/>
            </w:r>
            <w:r w:rsidRPr="00481A94">
              <w:rPr>
                <w:webHidden/>
              </w:rPr>
              <w:instrText xml:space="preserve"> PAGEREF _Toc197076267 \h </w:instrText>
            </w:r>
            <w:r w:rsidRPr="00481A94">
              <w:rPr>
                <w:webHidden/>
              </w:rPr>
            </w:r>
            <w:r w:rsidRPr="00481A94">
              <w:rPr>
                <w:webHidden/>
              </w:rPr>
              <w:fldChar w:fldCharType="separate"/>
            </w:r>
            <w:r w:rsidRPr="00481A94">
              <w:rPr>
                <w:webHidden/>
              </w:rPr>
              <w:t>6</w:t>
            </w:r>
            <w:r w:rsidRPr="00481A94">
              <w:rPr>
                <w:webHidden/>
              </w:rPr>
              <w:fldChar w:fldCharType="end"/>
            </w:r>
          </w:hyperlink>
        </w:p>
        <w:p w:rsidRPr="00481A94" w:rsidR="00481A94" w:rsidRDefault="00481A94" w14:paraId="6F407FDB" w14:textId="25A5C424">
          <w:pPr>
            <w:pStyle w:val="TOC1"/>
            <w:tabs>
              <w:tab w:val="right" w:leader="dot" w:pos="9300"/>
            </w:tabs>
            <w:rPr>
              <w:rFonts w:asciiTheme="minorHAnsi" w:hAnsiTheme="minorHAnsi" w:eastAsiaTheme="minorEastAsia" w:cstheme="minorBidi"/>
              <w:kern w:val="2"/>
              <w14:ligatures w14:val="standardContextual"/>
            </w:rPr>
          </w:pPr>
          <w:hyperlink w:history="1" w:anchor="_Toc197076268">
            <w:r w:rsidRPr="00481A94">
              <w:rPr>
                <w:rStyle w:val="Hyperlink"/>
              </w:rPr>
              <w:t>5.</w:t>
            </w:r>
            <w:r w:rsidRPr="00481A94">
              <w:rPr>
                <w:rFonts w:asciiTheme="minorHAnsi" w:hAnsiTheme="minorHAnsi" w:eastAsiaTheme="minorEastAsia" w:cstheme="minorBidi"/>
                <w:kern w:val="2"/>
                <w14:ligatures w14:val="standardContextual"/>
              </w:rPr>
              <w:tab/>
            </w:r>
            <w:r w:rsidRPr="00481A94">
              <w:rPr>
                <w:rStyle w:val="Hyperlink"/>
                <w:spacing w:val="-2"/>
                <w:lang w:bidi="en-US"/>
              </w:rPr>
              <w:t>Submitting of</w:t>
            </w:r>
            <w:r w:rsidRPr="00481A94">
              <w:rPr>
                <w:rStyle w:val="Hyperlink"/>
                <w:lang w:bidi="en-US"/>
              </w:rPr>
              <w:t xml:space="preserve"> Balancing Energy Offers</w:t>
            </w:r>
            <w:r w:rsidRPr="00481A94">
              <w:rPr>
                <w:webHidden/>
              </w:rPr>
              <w:tab/>
            </w:r>
            <w:r w:rsidRPr="00481A94">
              <w:rPr>
                <w:webHidden/>
              </w:rPr>
              <w:fldChar w:fldCharType="begin"/>
            </w:r>
            <w:r w:rsidRPr="00481A94">
              <w:rPr>
                <w:webHidden/>
              </w:rPr>
              <w:instrText xml:space="preserve"> PAGEREF _Toc197076268 \h </w:instrText>
            </w:r>
            <w:r w:rsidRPr="00481A94">
              <w:rPr>
                <w:webHidden/>
              </w:rPr>
            </w:r>
            <w:r w:rsidRPr="00481A94">
              <w:rPr>
                <w:webHidden/>
              </w:rPr>
              <w:fldChar w:fldCharType="separate"/>
            </w:r>
            <w:r w:rsidRPr="00481A94">
              <w:rPr>
                <w:webHidden/>
              </w:rPr>
              <w:t>8</w:t>
            </w:r>
            <w:r w:rsidRPr="00481A94">
              <w:rPr>
                <w:webHidden/>
              </w:rPr>
              <w:fldChar w:fldCharType="end"/>
            </w:r>
          </w:hyperlink>
        </w:p>
        <w:p w:rsidRPr="00481A94" w:rsidR="00481A94" w:rsidRDefault="00481A94" w14:paraId="1875D465" w14:textId="7B7C387F">
          <w:pPr>
            <w:pStyle w:val="TOC1"/>
            <w:tabs>
              <w:tab w:val="right" w:leader="dot" w:pos="9300"/>
            </w:tabs>
            <w:rPr>
              <w:rFonts w:asciiTheme="minorHAnsi" w:hAnsiTheme="minorHAnsi" w:eastAsiaTheme="minorEastAsia" w:cstheme="minorBidi"/>
              <w:kern w:val="2"/>
              <w14:ligatures w14:val="standardContextual"/>
            </w:rPr>
          </w:pPr>
          <w:hyperlink w:history="1" w:anchor="_Toc197076269">
            <w:r w:rsidRPr="00481A94">
              <w:rPr>
                <w:rStyle w:val="Hyperlink"/>
              </w:rPr>
              <w:t>6.</w:t>
            </w:r>
            <w:r w:rsidRPr="00481A94">
              <w:rPr>
                <w:rFonts w:asciiTheme="minorHAnsi" w:hAnsiTheme="minorHAnsi" w:eastAsiaTheme="minorEastAsia" w:cstheme="minorBidi"/>
                <w:kern w:val="2"/>
                <w14:ligatures w14:val="standardContextual"/>
              </w:rPr>
              <w:tab/>
            </w:r>
            <w:r w:rsidRPr="00481A94">
              <w:rPr>
                <w:rStyle w:val="Hyperlink"/>
                <w:lang w:bidi="en-US"/>
              </w:rPr>
              <w:t xml:space="preserve">Ordering, Use and </w:t>
            </w:r>
            <w:r w:rsidRPr="00481A94">
              <w:rPr>
                <w:rStyle w:val="Hyperlink"/>
                <w:spacing w:val="-2"/>
                <w:lang w:bidi="en-US"/>
              </w:rPr>
              <w:t>Termination</w:t>
            </w:r>
            <w:r w:rsidRPr="00481A94">
              <w:rPr>
                <w:rStyle w:val="Hyperlink"/>
                <w:lang w:bidi="en-US"/>
              </w:rPr>
              <w:t xml:space="preserve"> of the Balancing Service</w:t>
            </w:r>
            <w:r w:rsidRPr="00481A94">
              <w:rPr>
                <w:webHidden/>
              </w:rPr>
              <w:tab/>
            </w:r>
            <w:r w:rsidRPr="00481A94">
              <w:rPr>
                <w:webHidden/>
              </w:rPr>
              <w:fldChar w:fldCharType="begin"/>
            </w:r>
            <w:r w:rsidRPr="00481A94">
              <w:rPr>
                <w:webHidden/>
              </w:rPr>
              <w:instrText xml:space="preserve"> PAGEREF _Toc197076269 \h </w:instrText>
            </w:r>
            <w:r w:rsidRPr="00481A94">
              <w:rPr>
                <w:webHidden/>
              </w:rPr>
            </w:r>
            <w:r w:rsidRPr="00481A94">
              <w:rPr>
                <w:webHidden/>
              </w:rPr>
              <w:fldChar w:fldCharType="separate"/>
            </w:r>
            <w:r w:rsidRPr="00481A94">
              <w:rPr>
                <w:webHidden/>
              </w:rPr>
              <w:t>8</w:t>
            </w:r>
            <w:r w:rsidRPr="00481A94">
              <w:rPr>
                <w:webHidden/>
              </w:rPr>
              <w:fldChar w:fldCharType="end"/>
            </w:r>
          </w:hyperlink>
        </w:p>
        <w:p w:rsidRPr="00481A94" w:rsidR="00481A94" w:rsidRDefault="00481A94" w14:paraId="7B61E674" w14:textId="35FD61C1">
          <w:pPr>
            <w:pStyle w:val="TOC1"/>
            <w:tabs>
              <w:tab w:val="right" w:leader="dot" w:pos="9300"/>
            </w:tabs>
            <w:rPr>
              <w:rFonts w:asciiTheme="minorHAnsi" w:hAnsiTheme="minorHAnsi" w:eastAsiaTheme="minorEastAsia" w:cstheme="minorBidi"/>
              <w:kern w:val="2"/>
              <w14:ligatures w14:val="standardContextual"/>
            </w:rPr>
          </w:pPr>
          <w:hyperlink w:history="1" w:anchor="_Toc197076270">
            <w:r w:rsidRPr="00481A94">
              <w:rPr>
                <w:rStyle w:val="Hyperlink"/>
              </w:rPr>
              <w:t>7.</w:t>
            </w:r>
            <w:r w:rsidRPr="00481A94">
              <w:rPr>
                <w:rFonts w:asciiTheme="minorHAnsi" w:hAnsiTheme="minorHAnsi" w:eastAsiaTheme="minorEastAsia" w:cstheme="minorBidi"/>
                <w:kern w:val="2"/>
                <w14:ligatures w14:val="standardContextual"/>
              </w:rPr>
              <w:tab/>
            </w:r>
            <w:r w:rsidRPr="00481A94">
              <w:rPr>
                <w:rStyle w:val="Hyperlink"/>
                <w:lang w:bidi="en-US"/>
              </w:rPr>
              <w:t xml:space="preserve">Technology-Specific </w:t>
            </w:r>
            <w:r w:rsidRPr="00481A94">
              <w:rPr>
                <w:rStyle w:val="Hyperlink"/>
                <w:spacing w:val="-2"/>
                <w:lang w:bidi="en-US"/>
              </w:rPr>
              <w:t>Particularities</w:t>
            </w:r>
            <w:r w:rsidRPr="00481A94">
              <w:rPr>
                <w:rStyle w:val="Hyperlink"/>
                <w:lang w:bidi="en-US"/>
              </w:rPr>
              <w:t xml:space="preserve"> of the Balancing Service</w:t>
            </w:r>
            <w:r w:rsidRPr="00481A94">
              <w:rPr>
                <w:webHidden/>
              </w:rPr>
              <w:tab/>
            </w:r>
            <w:r w:rsidRPr="00481A94">
              <w:rPr>
                <w:webHidden/>
              </w:rPr>
              <w:fldChar w:fldCharType="begin"/>
            </w:r>
            <w:r w:rsidRPr="00481A94">
              <w:rPr>
                <w:webHidden/>
              </w:rPr>
              <w:instrText xml:space="preserve"> PAGEREF _Toc197076270 \h </w:instrText>
            </w:r>
            <w:r w:rsidRPr="00481A94">
              <w:rPr>
                <w:webHidden/>
              </w:rPr>
            </w:r>
            <w:r w:rsidRPr="00481A94">
              <w:rPr>
                <w:webHidden/>
              </w:rPr>
              <w:fldChar w:fldCharType="separate"/>
            </w:r>
            <w:r w:rsidRPr="00481A94">
              <w:rPr>
                <w:webHidden/>
              </w:rPr>
              <w:t>10</w:t>
            </w:r>
            <w:r w:rsidRPr="00481A94">
              <w:rPr>
                <w:webHidden/>
              </w:rPr>
              <w:fldChar w:fldCharType="end"/>
            </w:r>
          </w:hyperlink>
        </w:p>
        <w:p w:rsidRPr="00481A94" w:rsidR="00481A94" w:rsidRDefault="00481A94" w14:paraId="75D2E015" w14:textId="3766414C">
          <w:pPr>
            <w:pStyle w:val="TOC1"/>
            <w:tabs>
              <w:tab w:val="right" w:leader="dot" w:pos="9300"/>
            </w:tabs>
            <w:rPr>
              <w:rFonts w:asciiTheme="minorHAnsi" w:hAnsiTheme="minorHAnsi" w:eastAsiaTheme="minorEastAsia" w:cstheme="minorBidi"/>
              <w:kern w:val="2"/>
              <w14:ligatures w14:val="standardContextual"/>
            </w:rPr>
          </w:pPr>
          <w:hyperlink w:history="1" w:anchor="_Toc197076271">
            <w:r w:rsidRPr="00481A94">
              <w:rPr>
                <w:rStyle w:val="Hyperlink"/>
              </w:rPr>
              <w:t>8.</w:t>
            </w:r>
            <w:r w:rsidRPr="00481A94">
              <w:rPr>
                <w:rFonts w:asciiTheme="minorHAnsi" w:hAnsiTheme="minorHAnsi" w:eastAsiaTheme="minorEastAsia" w:cstheme="minorBidi"/>
                <w:kern w:val="2"/>
                <w14:ligatures w14:val="standardContextual"/>
              </w:rPr>
              <w:tab/>
            </w:r>
            <w:r w:rsidRPr="00481A94">
              <w:rPr>
                <w:rStyle w:val="Hyperlink"/>
                <w:lang w:bidi="en-US"/>
              </w:rPr>
              <w:t xml:space="preserve">General requirements </w:t>
            </w:r>
            <w:r w:rsidRPr="00481A94">
              <w:rPr>
                <w:rStyle w:val="Hyperlink"/>
                <w:spacing w:val="-2"/>
                <w:lang w:bidi="en-US"/>
              </w:rPr>
              <w:t>for Data Exchange</w:t>
            </w:r>
            <w:r w:rsidRPr="00481A94">
              <w:rPr>
                <w:webHidden/>
              </w:rPr>
              <w:tab/>
            </w:r>
            <w:r w:rsidRPr="00481A94">
              <w:rPr>
                <w:webHidden/>
              </w:rPr>
              <w:fldChar w:fldCharType="begin"/>
            </w:r>
            <w:r w:rsidRPr="00481A94">
              <w:rPr>
                <w:webHidden/>
              </w:rPr>
              <w:instrText xml:space="preserve"> PAGEREF _Toc197076271 \h </w:instrText>
            </w:r>
            <w:r w:rsidRPr="00481A94">
              <w:rPr>
                <w:webHidden/>
              </w:rPr>
            </w:r>
            <w:r w:rsidRPr="00481A94">
              <w:rPr>
                <w:webHidden/>
              </w:rPr>
              <w:fldChar w:fldCharType="separate"/>
            </w:r>
            <w:r w:rsidRPr="00481A94">
              <w:rPr>
                <w:webHidden/>
              </w:rPr>
              <w:t>11</w:t>
            </w:r>
            <w:r w:rsidRPr="00481A94">
              <w:rPr>
                <w:webHidden/>
              </w:rPr>
              <w:fldChar w:fldCharType="end"/>
            </w:r>
          </w:hyperlink>
        </w:p>
        <w:p w:rsidRPr="00481A94" w:rsidR="00481A94" w:rsidRDefault="00481A94" w14:paraId="35EB6DDB" w14:textId="4DB17F38">
          <w:pPr>
            <w:pStyle w:val="TOC1"/>
            <w:tabs>
              <w:tab w:val="right" w:leader="dot" w:pos="9300"/>
            </w:tabs>
            <w:rPr>
              <w:rFonts w:asciiTheme="minorHAnsi" w:hAnsiTheme="minorHAnsi" w:eastAsiaTheme="minorEastAsia" w:cstheme="minorBidi"/>
              <w:kern w:val="2"/>
              <w14:ligatures w14:val="standardContextual"/>
            </w:rPr>
          </w:pPr>
          <w:hyperlink w:history="1" w:anchor="_Toc197076272">
            <w:r w:rsidRPr="00481A94">
              <w:rPr>
                <w:rStyle w:val="Hyperlink"/>
              </w:rPr>
              <w:t>9.</w:t>
            </w:r>
            <w:r w:rsidRPr="00481A94">
              <w:rPr>
                <w:rFonts w:asciiTheme="minorHAnsi" w:hAnsiTheme="minorHAnsi" w:eastAsiaTheme="minorEastAsia" w:cstheme="minorBidi"/>
                <w:kern w:val="2"/>
                <w14:ligatures w14:val="standardContextual"/>
              </w:rPr>
              <w:tab/>
            </w:r>
            <w:r w:rsidRPr="00481A94">
              <w:rPr>
                <w:rStyle w:val="Hyperlink"/>
                <w:spacing w:val="-2"/>
                <w:lang w:bidi="en-US"/>
              </w:rPr>
              <w:t>Pricing of</w:t>
            </w:r>
            <w:r w:rsidRPr="00481A94">
              <w:rPr>
                <w:rStyle w:val="Hyperlink"/>
                <w:lang w:bidi="en-US"/>
              </w:rPr>
              <w:t xml:space="preserve"> Balancing Offers</w:t>
            </w:r>
            <w:r w:rsidRPr="00481A94">
              <w:rPr>
                <w:webHidden/>
              </w:rPr>
              <w:tab/>
            </w:r>
            <w:r w:rsidRPr="00481A94">
              <w:rPr>
                <w:webHidden/>
              </w:rPr>
              <w:fldChar w:fldCharType="begin"/>
            </w:r>
            <w:r w:rsidRPr="00481A94">
              <w:rPr>
                <w:webHidden/>
              </w:rPr>
              <w:instrText xml:space="preserve"> PAGEREF _Toc197076272 \h </w:instrText>
            </w:r>
            <w:r w:rsidRPr="00481A94">
              <w:rPr>
                <w:webHidden/>
              </w:rPr>
            </w:r>
            <w:r w:rsidRPr="00481A94">
              <w:rPr>
                <w:webHidden/>
              </w:rPr>
              <w:fldChar w:fldCharType="separate"/>
            </w:r>
            <w:r w:rsidRPr="00481A94">
              <w:rPr>
                <w:webHidden/>
              </w:rPr>
              <w:t>11</w:t>
            </w:r>
            <w:r w:rsidRPr="00481A94">
              <w:rPr>
                <w:webHidden/>
              </w:rPr>
              <w:fldChar w:fldCharType="end"/>
            </w:r>
          </w:hyperlink>
        </w:p>
        <w:p w:rsidRPr="00481A94" w:rsidR="00481A94" w:rsidRDefault="00481A94" w14:paraId="23E23783" w14:textId="28716C0B">
          <w:pPr>
            <w:pStyle w:val="TOC1"/>
            <w:tabs>
              <w:tab w:val="right" w:leader="dot" w:pos="9300"/>
            </w:tabs>
            <w:rPr>
              <w:rFonts w:asciiTheme="minorHAnsi" w:hAnsiTheme="minorHAnsi" w:eastAsiaTheme="minorEastAsia" w:cstheme="minorBidi"/>
              <w:kern w:val="2"/>
              <w14:ligatures w14:val="standardContextual"/>
            </w:rPr>
          </w:pPr>
          <w:hyperlink w:history="1" w:anchor="_Toc197076273">
            <w:r w:rsidRPr="00481A94">
              <w:rPr>
                <w:rStyle w:val="Hyperlink"/>
              </w:rPr>
              <w:t>10.</w:t>
            </w:r>
            <w:r w:rsidRPr="00481A94">
              <w:rPr>
                <w:rFonts w:asciiTheme="minorHAnsi" w:hAnsiTheme="minorHAnsi" w:eastAsiaTheme="minorEastAsia" w:cstheme="minorBidi"/>
                <w:kern w:val="2"/>
                <w14:ligatures w14:val="standardContextual"/>
              </w:rPr>
              <w:tab/>
            </w:r>
            <w:r w:rsidRPr="00481A94">
              <w:rPr>
                <w:rStyle w:val="Hyperlink"/>
                <w:spacing w:val="-2"/>
                <w:lang w:bidi="en-US"/>
              </w:rPr>
              <w:t>Clarification</w:t>
            </w:r>
            <w:r w:rsidRPr="00481A94">
              <w:rPr>
                <w:rStyle w:val="Hyperlink"/>
                <w:lang w:bidi="en-US"/>
              </w:rPr>
              <w:t xml:space="preserve"> of Balancing Service Offers</w:t>
            </w:r>
            <w:r w:rsidRPr="00481A94">
              <w:rPr>
                <w:webHidden/>
              </w:rPr>
              <w:tab/>
            </w:r>
            <w:r w:rsidRPr="00481A94">
              <w:rPr>
                <w:webHidden/>
              </w:rPr>
              <w:fldChar w:fldCharType="begin"/>
            </w:r>
            <w:r w:rsidRPr="00481A94">
              <w:rPr>
                <w:webHidden/>
              </w:rPr>
              <w:instrText xml:space="preserve"> PAGEREF _Toc197076273 \h </w:instrText>
            </w:r>
            <w:r w:rsidRPr="00481A94">
              <w:rPr>
                <w:webHidden/>
              </w:rPr>
            </w:r>
            <w:r w:rsidRPr="00481A94">
              <w:rPr>
                <w:webHidden/>
              </w:rPr>
              <w:fldChar w:fldCharType="separate"/>
            </w:r>
            <w:r w:rsidRPr="00481A94">
              <w:rPr>
                <w:webHidden/>
              </w:rPr>
              <w:t>12</w:t>
            </w:r>
            <w:r w:rsidRPr="00481A94">
              <w:rPr>
                <w:webHidden/>
              </w:rPr>
              <w:fldChar w:fldCharType="end"/>
            </w:r>
          </w:hyperlink>
        </w:p>
        <w:p w:rsidRPr="00481A94" w:rsidR="00481A94" w:rsidRDefault="00481A94" w14:paraId="387864F9" w14:textId="7D944029">
          <w:pPr>
            <w:pStyle w:val="TOC1"/>
            <w:tabs>
              <w:tab w:val="right" w:leader="dot" w:pos="9300"/>
            </w:tabs>
            <w:rPr>
              <w:rFonts w:asciiTheme="minorHAnsi" w:hAnsiTheme="minorHAnsi" w:eastAsiaTheme="minorEastAsia" w:cstheme="minorBidi"/>
              <w:kern w:val="2"/>
              <w14:ligatures w14:val="standardContextual"/>
            </w:rPr>
          </w:pPr>
          <w:hyperlink w:history="1" w:anchor="_Toc197076274">
            <w:r w:rsidRPr="00481A94">
              <w:rPr>
                <w:rStyle w:val="Hyperlink"/>
              </w:rPr>
              <w:t>11.</w:t>
            </w:r>
            <w:r w:rsidRPr="00481A94">
              <w:rPr>
                <w:rFonts w:asciiTheme="minorHAnsi" w:hAnsiTheme="minorHAnsi" w:eastAsiaTheme="minorEastAsia" w:cstheme="minorBidi"/>
                <w:kern w:val="2"/>
                <w14:ligatures w14:val="standardContextual"/>
              </w:rPr>
              <w:tab/>
            </w:r>
            <w:r w:rsidRPr="00481A94">
              <w:rPr>
                <w:rStyle w:val="Hyperlink"/>
                <w:lang w:bidi="en-US"/>
              </w:rPr>
              <w:t xml:space="preserve">Rights and </w:t>
            </w:r>
            <w:r w:rsidRPr="00481A94">
              <w:rPr>
                <w:rStyle w:val="Hyperlink"/>
                <w:spacing w:val="-2"/>
                <w:lang w:bidi="en-US"/>
              </w:rPr>
              <w:t>Obligations</w:t>
            </w:r>
            <w:r w:rsidRPr="00481A94">
              <w:rPr>
                <w:rStyle w:val="Hyperlink"/>
                <w:lang w:bidi="en-US"/>
              </w:rPr>
              <w:t xml:space="preserve"> of the System Operator</w:t>
            </w:r>
            <w:r w:rsidRPr="00481A94">
              <w:rPr>
                <w:webHidden/>
              </w:rPr>
              <w:tab/>
            </w:r>
            <w:r w:rsidRPr="00481A94">
              <w:rPr>
                <w:webHidden/>
              </w:rPr>
              <w:fldChar w:fldCharType="begin"/>
            </w:r>
            <w:r w:rsidRPr="00481A94">
              <w:rPr>
                <w:webHidden/>
              </w:rPr>
              <w:instrText xml:space="preserve"> PAGEREF _Toc197076274 \h </w:instrText>
            </w:r>
            <w:r w:rsidRPr="00481A94">
              <w:rPr>
                <w:webHidden/>
              </w:rPr>
            </w:r>
            <w:r w:rsidRPr="00481A94">
              <w:rPr>
                <w:webHidden/>
              </w:rPr>
              <w:fldChar w:fldCharType="separate"/>
            </w:r>
            <w:r w:rsidRPr="00481A94">
              <w:rPr>
                <w:webHidden/>
              </w:rPr>
              <w:t>14</w:t>
            </w:r>
            <w:r w:rsidRPr="00481A94">
              <w:rPr>
                <w:webHidden/>
              </w:rPr>
              <w:fldChar w:fldCharType="end"/>
            </w:r>
          </w:hyperlink>
        </w:p>
        <w:p w:rsidRPr="00481A94" w:rsidR="00481A94" w:rsidRDefault="00481A94" w14:paraId="7DC669C3" w14:textId="0427489D">
          <w:pPr>
            <w:pStyle w:val="TOC1"/>
            <w:tabs>
              <w:tab w:val="right" w:leader="dot" w:pos="9300"/>
            </w:tabs>
            <w:rPr>
              <w:rFonts w:asciiTheme="minorHAnsi" w:hAnsiTheme="minorHAnsi" w:eastAsiaTheme="minorEastAsia" w:cstheme="minorBidi"/>
              <w:kern w:val="2"/>
              <w14:ligatures w14:val="standardContextual"/>
            </w:rPr>
          </w:pPr>
          <w:hyperlink w:history="1" w:anchor="_Toc197076275">
            <w:r w:rsidRPr="00481A94">
              <w:rPr>
                <w:rStyle w:val="Hyperlink"/>
              </w:rPr>
              <w:t>12.</w:t>
            </w:r>
            <w:r w:rsidRPr="00481A94">
              <w:rPr>
                <w:rFonts w:asciiTheme="minorHAnsi" w:hAnsiTheme="minorHAnsi" w:eastAsiaTheme="minorEastAsia" w:cstheme="minorBidi"/>
                <w:kern w:val="2"/>
                <w14:ligatures w14:val="standardContextual"/>
              </w:rPr>
              <w:tab/>
            </w:r>
            <w:r w:rsidRPr="00481A94">
              <w:rPr>
                <w:rStyle w:val="Hyperlink"/>
                <w:lang w:bidi="en-US"/>
              </w:rPr>
              <w:t xml:space="preserve">Rights and </w:t>
            </w:r>
            <w:r w:rsidRPr="00481A94">
              <w:rPr>
                <w:rStyle w:val="Hyperlink"/>
                <w:spacing w:val="-2"/>
                <w:lang w:bidi="en-US"/>
              </w:rPr>
              <w:t>Obligations</w:t>
            </w:r>
            <w:r w:rsidRPr="00481A94">
              <w:rPr>
                <w:rStyle w:val="Hyperlink"/>
                <w:lang w:bidi="en-US"/>
              </w:rPr>
              <w:t xml:space="preserve"> of the Balancing Service Provider</w:t>
            </w:r>
            <w:r w:rsidRPr="00481A94">
              <w:rPr>
                <w:webHidden/>
              </w:rPr>
              <w:tab/>
            </w:r>
            <w:r w:rsidRPr="00481A94">
              <w:rPr>
                <w:webHidden/>
              </w:rPr>
              <w:fldChar w:fldCharType="begin"/>
            </w:r>
            <w:r w:rsidRPr="00481A94">
              <w:rPr>
                <w:webHidden/>
              </w:rPr>
              <w:instrText xml:space="preserve"> PAGEREF _Toc197076275 \h </w:instrText>
            </w:r>
            <w:r w:rsidRPr="00481A94">
              <w:rPr>
                <w:webHidden/>
              </w:rPr>
            </w:r>
            <w:r w:rsidRPr="00481A94">
              <w:rPr>
                <w:webHidden/>
              </w:rPr>
              <w:fldChar w:fldCharType="separate"/>
            </w:r>
            <w:r w:rsidRPr="00481A94">
              <w:rPr>
                <w:webHidden/>
              </w:rPr>
              <w:t>14</w:t>
            </w:r>
            <w:r w:rsidRPr="00481A94">
              <w:rPr>
                <w:webHidden/>
              </w:rPr>
              <w:fldChar w:fldCharType="end"/>
            </w:r>
          </w:hyperlink>
        </w:p>
        <w:p w:rsidRPr="00481A94" w:rsidR="00481A94" w:rsidRDefault="00481A94" w14:paraId="3FD45EB8" w14:textId="032CF783">
          <w:pPr>
            <w:pStyle w:val="TOC1"/>
            <w:tabs>
              <w:tab w:val="right" w:leader="dot" w:pos="9300"/>
            </w:tabs>
            <w:rPr>
              <w:rFonts w:asciiTheme="minorHAnsi" w:hAnsiTheme="minorHAnsi" w:eastAsiaTheme="minorEastAsia" w:cstheme="minorBidi"/>
              <w:kern w:val="2"/>
              <w14:ligatures w14:val="standardContextual"/>
            </w:rPr>
          </w:pPr>
          <w:hyperlink w:history="1" w:anchor="_Toc197076276">
            <w:r w:rsidRPr="00481A94">
              <w:rPr>
                <w:rStyle w:val="Hyperlink"/>
              </w:rPr>
              <w:t>13.</w:t>
            </w:r>
            <w:r w:rsidRPr="00481A94">
              <w:rPr>
                <w:rFonts w:asciiTheme="minorHAnsi" w:hAnsiTheme="minorHAnsi" w:eastAsiaTheme="minorEastAsia" w:cstheme="minorBidi"/>
                <w:kern w:val="2"/>
                <w14:ligatures w14:val="standardContextual"/>
              </w:rPr>
              <w:tab/>
            </w:r>
            <w:r w:rsidRPr="00481A94">
              <w:rPr>
                <w:rStyle w:val="Hyperlink"/>
                <w:spacing w:val="-2"/>
                <w:lang w:bidi="en-US"/>
              </w:rPr>
              <w:t>Compensation</w:t>
            </w:r>
            <w:r w:rsidRPr="00481A94">
              <w:rPr>
                <w:rStyle w:val="Hyperlink"/>
                <w:lang w:bidi="en-US"/>
              </w:rPr>
              <w:t xml:space="preserve"> for Damages</w:t>
            </w:r>
            <w:r w:rsidRPr="00481A94">
              <w:rPr>
                <w:webHidden/>
              </w:rPr>
              <w:tab/>
            </w:r>
            <w:r w:rsidRPr="00481A94">
              <w:rPr>
                <w:webHidden/>
              </w:rPr>
              <w:fldChar w:fldCharType="begin"/>
            </w:r>
            <w:r w:rsidRPr="00481A94">
              <w:rPr>
                <w:webHidden/>
              </w:rPr>
              <w:instrText xml:space="preserve"> PAGEREF _Toc197076276 \h </w:instrText>
            </w:r>
            <w:r w:rsidRPr="00481A94">
              <w:rPr>
                <w:webHidden/>
              </w:rPr>
            </w:r>
            <w:r w:rsidRPr="00481A94">
              <w:rPr>
                <w:webHidden/>
              </w:rPr>
              <w:fldChar w:fldCharType="separate"/>
            </w:r>
            <w:r w:rsidRPr="00481A94">
              <w:rPr>
                <w:webHidden/>
              </w:rPr>
              <w:t>15</w:t>
            </w:r>
            <w:r w:rsidRPr="00481A94">
              <w:rPr>
                <w:webHidden/>
              </w:rPr>
              <w:fldChar w:fldCharType="end"/>
            </w:r>
          </w:hyperlink>
        </w:p>
        <w:p w:rsidRPr="00481A94" w:rsidR="00481A94" w:rsidRDefault="00481A94" w14:paraId="51427C81" w14:textId="527A3F16">
          <w:pPr>
            <w:pStyle w:val="TOC1"/>
            <w:tabs>
              <w:tab w:val="right" w:leader="dot" w:pos="9300"/>
            </w:tabs>
            <w:rPr>
              <w:rFonts w:asciiTheme="minorHAnsi" w:hAnsiTheme="minorHAnsi" w:eastAsiaTheme="minorEastAsia" w:cstheme="minorBidi"/>
              <w:kern w:val="2"/>
              <w14:ligatures w14:val="standardContextual"/>
            </w:rPr>
          </w:pPr>
          <w:hyperlink w:history="1" w:anchor="_Toc197076277">
            <w:r w:rsidRPr="00481A94">
              <w:rPr>
                <w:rStyle w:val="Hyperlink"/>
              </w:rPr>
              <w:t>14.</w:t>
            </w:r>
            <w:r w:rsidRPr="00481A94">
              <w:rPr>
                <w:rFonts w:asciiTheme="minorHAnsi" w:hAnsiTheme="minorHAnsi" w:eastAsiaTheme="minorEastAsia" w:cstheme="minorBidi"/>
                <w:kern w:val="2"/>
                <w14:ligatures w14:val="standardContextual"/>
              </w:rPr>
              <w:tab/>
            </w:r>
            <w:r w:rsidRPr="00481A94">
              <w:rPr>
                <w:rStyle w:val="Hyperlink"/>
                <w:spacing w:val="-2"/>
                <w:lang w:bidi="en-US"/>
              </w:rPr>
              <w:t>Confidentiality</w:t>
            </w:r>
            <w:r w:rsidRPr="00481A94">
              <w:rPr>
                <w:webHidden/>
              </w:rPr>
              <w:tab/>
            </w:r>
            <w:r w:rsidRPr="00481A94">
              <w:rPr>
                <w:webHidden/>
              </w:rPr>
              <w:fldChar w:fldCharType="begin"/>
            </w:r>
            <w:r w:rsidRPr="00481A94">
              <w:rPr>
                <w:webHidden/>
              </w:rPr>
              <w:instrText xml:space="preserve"> PAGEREF _Toc197076277 \h </w:instrText>
            </w:r>
            <w:r w:rsidRPr="00481A94">
              <w:rPr>
                <w:webHidden/>
              </w:rPr>
            </w:r>
            <w:r w:rsidRPr="00481A94">
              <w:rPr>
                <w:webHidden/>
              </w:rPr>
              <w:fldChar w:fldCharType="separate"/>
            </w:r>
            <w:r w:rsidRPr="00481A94">
              <w:rPr>
                <w:webHidden/>
              </w:rPr>
              <w:t>15</w:t>
            </w:r>
            <w:r w:rsidRPr="00481A94">
              <w:rPr>
                <w:webHidden/>
              </w:rPr>
              <w:fldChar w:fldCharType="end"/>
            </w:r>
          </w:hyperlink>
        </w:p>
        <w:p w:rsidRPr="00481A94" w:rsidR="00481A94" w:rsidRDefault="00481A94" w14:paraId="7EAF3B86" w14:textId="45AFC798">
          <w:pPr>
            <w:pStyle w:val="TOC1"/>
            <w:tabs>
              <w:tab w:val="right" w:leader="dot" w:pos="9300"/>
            </w:tabs>
            <w:rPr>
              <w:rFonts w:asciiTheme="minorHAnsi" w:hAnsiTheme="minorHAnsi" w:eastAsiaTheme="minorEastAsia" w:cstheme="minorBidi"/>
              <w:kern w:val="2"/>
              <w14:ligatures w14:val="standardContextual"/>
            </w:rPr>
          </w:pPr>
          <w:hyperlink w:history="1" w:anchor="_Toc197076278">
            <w:r w:rsidRPr="00481A94">
              <w:rPr>
                <w:rStyle w:val="Hyperlink"/>
              </w:rPr>
              <w:t>15.</w:t>
            </w:r>
            <w:r w:rsidRPr="00481A94">
              <w:rPr>
                <w:rFonts w:asciiTheme="minorHAnsi" w:hAnsiTheme="minorHAnsi" w:eastAsiaTheme="minorEastAsia" w:cstheme="minorBidi"/>
                <w:kern w:val="2"/>
                <w14:ligatures w14:val="standardContextual"/>
              </w:rPr>
              <w:tab/>
            </w:r>
            <w:r w:rsidRPr="00481A94">
              <w:rPr>
                <w:rStyle w:val="Hyperlink"/>
                <w:lang w:bidi="en-US"/>
              </w:rPr>
              <w:t xml:space="preserve">Amendment and </w:t>
            </w:r>
            <w:r w:rsidRPr="00481A94">
              <w:rPr>
                <w:rStyle w:val="Hyperlink"/>
                <w:spacing w:val="-2"/>
                <w:lang w:bidi="en-US"/>
              </w:rPr>
              <w:t>Cancellation</w:t>
            </w:r>
            <w:r w:rsidRPr="00481A94">
              <w:rPr>
                <w:rStyle w:val="Hyperlink"/>
                <w:lang w:bidi="en-US"/>
              </w:rPr>
              <w:t xml:space="preserve"> of the Agreement</w:t>
            </w:r>
            <w:r w:rsidRPr="00481A94">
              <w:rPr>
                <w:webHidden/>
              </w:rPr>
              <w:tab/>
            </w:r>
            <w:r w:rsidRPr="00481A94">
              <w:rPr>
                <w:webHidden/>
              </w:rPr>
              <w:fldChar w:fldCharType="begin"/>
            </w:r>
            <w:r w:rsidRPr="00481A94">
              <w:rPr>
                <w:webHidden/>
              </w:rPr>
              <w:instrText xml:space="preserve"> PAGEREF _Toc197076278 \h </w:instrText>
            </w:r>
            <w:r w:rsidRPr="00481A94">
              <w:rPr>
                <w:webHidden/>
              </w:rPr>
            </w:r>
            <w:r w:rsidRPr="00481A94">
              <w:rPr>
                <w:webHidden/>
              </w:rPr>
              <w:fldChar w:fldCharType="separate"/>
            </w:r>
            <w:r w:rsidRPr="00481A94">
              <w:rPr>
                <w:webHidden/>
              </w:rPr>
              <w:t>16</w:t>
            </w:r>
            <w:r w:rsidRPr="00481A94">
              <w:rPr>
                <w:webHidden/>
              </w:rPr>
              <w:fldChar w:fldCharType="end"/>
            </w:r>
          </w:hyperlink>
        </w:p>
        <w:p w:rsidRPr="00481A94" w:rsidR="00481A94" w:rsidRDefault="00481A94" w14:paraId="238B7BA4" w14:textId="169CD709">
          <w:pPr>
            <w:pStyle w:val="TOC1"/>
            <w:tabs>
              <w:tab w:val="right" w:leader="dot" w:pos="9300"/>
            </w:tabs>
            <w:rPr>
              <w:rFonts w:asciiTheme="minorHAnsi" w:hAnsiTheme="minorHAnsi" w:eastAsiaTheme="minorEastAsia" w:cstheme="minorBidi"/>
              <w:kern w:val="2"/>
              <w14:ligatures w14:val="standardContextual"/>
            </w:rPr>
          </w:pPr>
          <w:hyperlink w:history="1" w:anchor="_Toc197076279">
            <w:r w:rsidRPr="00481A94">
              <w:rPr>
                <w:rStyle w:val="Hyperlink"/>
              </w:rPr>
              <w:t>16.</w:t>
            </w:r>
            <w:r w:rsidRPr="00481A94">
              <w:rPr>
                <w:rFonts w:asciiTheme="minorHAnsi" w:hAnsiTheme="minorHAnsi" w:eastAsiaTheme="minorEastAsia" w:cstheme="minorBidi"/>
                <w:kern w:val="2"/>
                <w14:ligatures w14:val="standardContextual"/>
              </w:rPr>
              <w:tab/>
            </w:r>
            <w:r w:rsidRPr="00481A94">
              <w:rPr>
                <w:rStyle w:val="Hyperlink"/>
                <w:spacing w:val="-2"/>
                <w:lang w:bidi="en-US"/>
              </w:rPr>
              <w:t>Declarations of Intent</w:t>
            </w:r>
            <w:r w:rsidRPr="00481A94">
              <w:rPr>
                <w:webHidden/>
              </w:rPr>
              <w:tab/>
            </w:r>
            <w:r w:rsidRPr="00481A94">
              <w:rPr>
                <w:webHidden/>
              </w:rPr>
              <w:fldChar w:fldCharType="begin"/>
            </w:r>
            <w:r w:rsidRPr="00481A94">
              <w:rPr>
                <w:webHidden/>
              </w:rPr>
              <w:instrText xml:space="preserve"> PAGEREF _Toc197076279 \h </w:instrText>
            </w:r>
            <w:r w:rsidRPr="00481A94">
              <w:rPr>
                <w:webHidden/>
              </w:rPr>
            </w:r>
            <w:r w:rsidRPr="00481A94">
              <w:rPr>
                <w:webHidden/>
              </w:rPr>
              <w:fldChar w:fldCharType="separate"/>
            </w:r>
            <w:r w:rsidRPr="00481A94">
              <w:rPr>
                <w:webHidden/>
              </w:rPr>
              <w:t>16</w:t>
            </w:r>
            <w:r w:rsidRPr="00481A94">
              <w:rPr>
                <w:webHidden/>
              </w:rPr>
              <w:fldChar w:fldCharType="end"/>
            </w:r>
          </w:hyperlink>
        </w:p>
        <w:p w:rsidRPr="00481A94" w:rsidR="00E774A7" w:rsidRDefault="00DE5F62" w14:paraId="03B780D1" w14:textId="39131513">
          <w:pPr>
            <w:rPr>
              <w:sz w:val="24"/>
            </w:rPr>
          </w:pPr>
          <w:r w:rsidRPr="00481A94">
            <w:rPr>
              <w:lang w:bidi="en-US"/>
            </w:rPr>
            <w:fldChar w:fldCharType="end"/>
          </w:r>
        </w:p>
      </w:sdtContent>
    </w:sdt>
    <w:p w:rsidRPr="00481A94" w:rsidR="00E774A7" w:rsidRDefault="00E774A7" w14:paraId="31D577B1" w14:textId="77777777">
      <w:pPr>
        <w:pStyle w:val="BodyText"/>
        <w:ind w:left="0" w:firstLine="0"/>
        <w:jc w:val="left"/>
      </w:pPr>
    </w:p>
    <w:p w:rsidRPr="00481A94" w:rsidR="00E774A7" w:rsidRDefault="00E774A7" w14:paraId="655D89C1" w14:textId="77777777">
      <w:pPr>
        <w:pStyle w:val="BodyText"/>
        <w:spacing w:before="94"/>
        <w:ind w:left="0" w:firstLine="0"/>
        <w:jc w:val="left"/>
      </w:pPr>
    </w:p>
    <w:p w:rsidRPr="00481A94" w:rsidR="00E774A7" w:rsidRDefault="00DE5F62" w14:paraId="507AA3C1" w14:textId="77777777">
      <w:pPr>
        <w:pStyle w:val="Heading1"/>
        <w:numPr>
          <w:ilvl w:val="0"/>
          <w:numId w:val="1"/>
        </w:numPr>
        <w:tabs>
          <w:tab w:val="left" w:pos="682"/>
        </w:tabs>
        <w:ind w:hanging="566"/>
      </w:pPr>
      <w:bookmarkStart w:name="_Toc197076264" w:id="0"/>
      <w:r w:rsidRPr="00481A94">
        <w:rPr>
          <w:spacing w:val="-2"/>
          <w:lang w:bidi="en-US"/>
        </w:rPr>
        <w:t>General Provisions</w:t>
      </w:r>
      <w:bookmarkEnd w:id="0"/>
    </w:p>
    <w:p w:rsidRPr="00481A94" w:rsidR="00E774A7" w:rsidRDefault="00E774A7" w14:paraId="0BE8F982" w14:textId="77777777">
      <w:pPr>
        <w:pStyle w:val="BodyText"/>
        <w:ind w:left="0" w:firstLine="0"/>
        <w:jc w:val="left"/>
        <w:rPr>
          <w:b/>
        </w:rPr>
      </w:pPr>
    </w:p>
    <w:p w:rsidRPr="00481A94" w:rsidR="00E774A7" w:rsidRDefault="00DE5F62" w14:paraId="03B8B444" w14:textId="77777777">
      <w:pPr>
        <w:pStyle w:val="ListParagraph"/>
        <w:numPr>
          <w:ilvl w:val="1"/>
          <w:numId w:val="1"/>
        </w:numPr>
        <w:tabs>
          <w:tab w:val="left" w:pos="795"/>
        </w:tabs>
        <w:ind w:right="115"/>
        <w:jc w:val="both"/>
        <w:rPr>
          <w:sz w:val="24"/>
        </w:rPr>
      </w:pPr>
      <w:r w:rsidRPr="00481A94">
        <w:rPr>
          <w:sz w:val="24"/>
          <w:lang w:bidi="en-US"/>
        </w:rPr>
        <w:t>These "Standard Terms and Conditions for the Provision of the Automatically Activated Frequency Restoration Reserve Service" (hereinafter referred to as the "Standard Terms") establish the rights and obligations of Elering AS (hereinafter referred to as the "System Operator") and the Balancing Service Provider regarding the submission of balancing bids, the ordering, utilisation, termination of the balancing service, and settlement procedures.</w:t>
      </w:r>
    </w:p>
    <w:p w:rsidRPr="00481A94" w:rsidR="00E774A7" w:rsidRDefault="00DE5F62" w14:paraId="5FE8457B" w14:textId="77777777">
      <w:pPr>
        <w:pStyle w:val="ListParagraph"/>
        <w:numPr>
          <w:ilvl w:val="1"/>
          <w:numId w:val="1"/>
        </w:numPr>
        <w:tabs>
          <w:tab w:val="left" w:pos="795"/>
        </w:tabs>
        <w:spacing w:before="1"/>
        <w:ind w:right="115"/>
        <w:jc w:val="both"/>
        <w:rPr>
          <w:sz w:val="24"/>
        </w:rPr>
      </w:pPr>
      <w:r w:rsidRPr="00481A94">
        <w:rPr>
          <w:sz w:val="24"/>
          <w:lang w:bidi="en-US"/>
        </w:rPr>
        <w:t>The Standard Terms form an integral part of the Electricity Balancing Service Agreement (hereinafter referred to as the "Agreement").</w:t>
      </w:r>
    </w:p>
    <w:p w:rsidRPr="00481A94" w:rsidR="00E774A7" w:rsidRDefault="00DE5F62" w14:paraId="6CBE6309" w14:textId="77777777">
      <w:pPr>
        <w:pStyle w:val="ListParagraph"/>
        <w:numPr>
          <w:ilvl w:val="1"/>
          <w:numId w:val="1"/>
        </w:numPr>
        <w:tabs>
          <w:tab w:val="left" w:pos="795"/>
        </w:tabs>
        <w:ind w:right="119"/>
        <w:jc w:val="both"/>
        <w:rPr>
          <w:sz w:val="24"/>
        </w:rPr>
      </w:pPr>
      <w:r w:rsidRPr="00481A94">
        <w:rPr>
          <w:sz w:val="24"/>
          <w:lang w:bidi="en-US"/>
        </w:rPr>
        <w:t>These Standard Terms do not cover the procedures for suspension and restoration of balancing market activities in accordance with Article 36 of Commission Regulation (EU) 2017/2196, nor the rules for settlement during market suspension pursuant to Article 39 of the same Regulation.</w:t>
      </w:r>
    </w:p>
    <w:p w:rsidRPr="00481A94" w:rsidR="00E774A7" w:rsidRDefault="00DE5F62" w14:paraId="5EEA4AED" w14:textId="77777777">
      <w:pPr>
        <w:pStyle w:val="ListParagraph"/>
        <w:numPr>
          <w:ilvl w:val="1"/>
          <w:numId w:val="1"/>
        </w:numPr>
        <w:tabs>
          <w:tab w:val="left" w:pos="795"/>
        </w:tabs>
        <w:ind w:right="117"/>
        <w:jc w:val="both"/>
        <w:rPr>
          <w:sz w:val="24"/>
        </w:rPr>
      </w:pPr>
      <w:r w:rsidRPr="00481A94">
        <w:rPr>
          <w:sz w:val="24"/>
          <w:lang w:bidi="en-US"/>
        </w:rPr>
        <w:t>These Standard Terms concern the provision of balancing services related to automatically activated frequency restoration reserves (aFRR).</w:t>
      </w:r>
    </w:p>
    <w:p w:rsidRPr="00481A94" w:rsidR="00E774A7" w:rsidRDefault="00E774A7" w14:paraId="5D494D46" w14:textId="77777777">
      <w:pPr>
        <w:jc w:val="both"/>
        <w:rPr>
          <w:sz w:val="24"/>
        </w:rPr>
        <w:sectPr w:rsidRPr="00481A94" w:rsidR="00E774A7">
          <w:footerReference w:type="default" r:id="rId7"/>
          <w:type w:val="continuous"/>
          <w:pgSz w:w="11910" w:h="16840" w:orient="portrait"/>
          <w:pgMar w:top="1320" w:right="1300" w:bottom="640" w:left="1300" w:header="0" w:footer="456" w:gutter="0"/>
          <w:pgNumType w:start="1"/>
          <w:cols w:space="720"/>
        </w:sectPr>
      </w:pPr>
    </w:p>
    <w:p w:rsidRPr="00481A94" w:rsidR="00E774A7" w:rsidRDefault="00DE5F62" w14:paraId="602654D6" w14:textId="77777777">
      <w:pPr>
        <w:pStyle w:val="ListParagraph"/>
        <w:numPr>
          <w:ilvl w:val="1"/>
          <w:numId w:val="1"/>
        </w:numPr>
        <w:tabs>
          <w:tab w:val="left" w:pos="795"/>
        </w:tabs>
        <w:spacing w:before="76"/>
        <w:ind w:right="116"/>
        <w:jc w:val="both"/>
        <w:rPr>
          <w:sz w:val="24"/>
        </w:rPr>
      </w:pPr>
      <w:r w:rsidRPr="00481A94">
        <w:rPr>
          <w:sz w:val="24"/>
          <w:lang w:bidi="en-US"/>
        </w:rPr>
        <w:lastRenderedPageBreak/>
        <w:t>The System Operator uses the balancing service to ensure the balance of the Estonian electricity system, for countertrading purposes, and for the provision of balancing services to other system operators.</w:t>
      </w:r>
    </w:p>
    <w:p w:rsidRPr="00481A94" w:rsidR="00E774A7" w:rsidRDefault="00DE5F62" w14:paraId="399190DA" w14:textId="77777777">
      <w:pPr>
        <w:pStyle w:val="ListParagraph"/>
        <w:numPr>
          <w:ilvl w:val="1"/>
          <w:numId w:val="1"/>
        </w:numPr>
        <w:tabs>
          <w:tab w:val="left" w:pos="795"/>
        </w:tabs>
        <w:spacing w:before="1"/>
        <w:ind w:right="112"/>
        <w:jc w:val="both"/>
        <w:rPr>
          <w:sz w:val="24"/>
        </w:rPr>
      </w:pPr>
      <w:r w:rsidRPr="00481A94">
        <w:rPr>
          <w:sz w:val="24"/>
          <w:lang w:bidi="en-US"/>
        </w:rPr>
        <w:t>Offers and any changes thereto submitted by the Balancing Service Provider shall be submitted to the System Operator, taking into account the time zone determined by the System Operator. Unless otherwise specified by the System Operator, bids must be submitted in UTC time for the CE(S)T calendar day. All other deadlines and activities described in the Agreement shall refer to CE(S)T time.</w:t>
      </w:r>
    </w:p>
    <w:p w:rsidRPr="00481A94" w:rsidR="00E774A7" w:rsidRDefault="00DE5F62" w14:paraId="206EBF62" w14:textId="77777777">
      <w:pPr>
        <w:pStyle w:val="ListParagraph"/>
        <w:numPr>
          <w:ilvl w:val="1"/>
          <w:numId w:val="1"/>
        </w:numPr>
        <w:tabs>
          <w:tab w:val="left" w:pos="795"/>
        </w:tabs>
        <w:ind w:right="114"/>
        <w:jc w:val="both"/>
        <w:rPr>
          <w:sz w:val="24"/>
        </w:rPr>
      </w:pPr>
      <w:r w:rsidRPr="00481A94">
        <w:rPr>
          <w:sz w:val="24"/>
          <w:lang w:bidi="en-US"/>
        </w:rPr>
        <w:t>If the Balancing Service Provider is not itself a balance provider, it must provide information regarding its balance provider, who ensures an open supply contract on its behalf. The following information must be submitted to the System Operator: the name of the balance provider and the start and end time of the corresponding open supply contract, together with written confirmation from the balance provider.</w:t>
      </w:r>
    </w:p>
    <w:p w:rsidRPr="00481A94" w:rsidR="00E774A7" w:rsidRDefault="00DE5F62" w14:paraId="53B0D151" w14:textId="77777777">
      <w:pPr>
        <w:pStyle w:val="ListParagraph"/>
        <w:numPr>
          <w:ilvl w:val="1"/>
          <w:numId w:val="1"/>
        </w:numPr>
        <w:tabs>
          <w:tab w:val="left" w:pos="795"/>
        </w:tabs>
        <w:ind w:right="120"/>
        <w:jc w:val="both"/>
        <w:rPr>
          <w:sz w:val="24"/>
        </w:rPr>
      </w:pPr>
      <w:r w:rsidRPr="00481A94">
        <w:rPr>
          <w:sz w:val="24"/>
          <w:lang w:bidi="en-US"/>
        </w:rPr>
        <w:t>If the Balancing Service Provider is not itself a balance provider, it must ensure data exchange with its balance provider for the activation of the balancing service, and notify the System Operator of the contact persons for offer coordination, information exchange and settlement, in accordance with the agreement concluded with the balance provider.</w:t>
      </w:r>
    </w:p>
    <w:p w:rsidRPr="00481A94" w:rsidR="00E774A7" w:rsidRDefault="00DE5F62" w14:paraId="415AEB8A" w14:textId="77777777">
      <w:pPr>
        <w:pStyle w:val="ListParagraph"/>
        <w:numPr>
          <w:ilvl w:val="1"/>
          <w:numId w:val="1"/>
        </w:numPr>
        <w:tabs>
          <w:tab w:val="left" w:pos="795"/>
        </w:tabs>
        <w:spacing w:before="1"/>
        <w:ind w:right="112"/>
        <w:jc w:val="both"/>
        <w:rPr>
          <w:sz w:val="24"/>
        </w:rPr>
      </w:pPr>
      <w:r w:rsidRPr="00481A94">
        <w:rPr>
          <w:sz w:val="24"/>
          <w:lang w:bidi="en-US"/>
        </w:rPr>
        <w:t>If the Balancing Service Provider is an independent aggregator, it must ensure that only those resources are included in its balancing offer for which the resource owners have granted authorisation via the data exchange platform.</w:t>
      </w:r>
    </w:p>
    <w:p w:rsidRPr="00481A94" w:rsidR="00E774A7" w:rsidRDefault="00DE5F62" w14:paraId="580AE22D" w14:textId="77777777">
      <w:pPr>
        <w:pStyle w:val="ListParagraph"/>
        <w:numPr>
          <w:ilvl w:val="1"/>
          <w:numId w:val="1"/>
        </w:numPr>
        <w:tabs>
          <w:tab w:val="left" w:pos="795"/>
        </w:tabs>
        <w:ind w:right="116"/>
        <w:jc w:val="both"/>
        <w:rPr>
          <w:sz w:val="24"/>
        </w:rPr>
      </w:pPr>
      <w:r w:rsidRPr="00481A94">
        <w:rPr>
          <w:sz w:val="24"/>
          <w:lang w:bidi="en-US"/>
        </w:rPr>
        <w:t>If the Balancing Service Provider is an independent aggregator, it must submit data on balancing energy volumes to the data exchange platform in accordance with the user guide for the data exchange platform and within the deadlines specified therein.</w:t>
      </w:r>
    </w:p>
    <w:p w:rsidRPr="00481A94" w:rsidR="00E774A7" w:rsidRDefault="00E774A7" w14:paraId="3493B868" w14:textId="77777777">
      <w:pPr>
        <w:pStyle w:val="BodyText"/>
        <w:ind w:left="0" w:firstLine="0"/>
        <w:jc w:val="left"/>
      </w:pPr>
    </w:p>
    <w:p w:rsidRPr="00481A94" w:rsidR="00E774A7" w:rsidRDefault="00E774A7" w14:paraId="22164261" w14:textId="77777777">
      <w:pPr>
        <w:pStyle w:val="BodyText"/>
        <w:ind w:left="0" w:firstLine="0"/>
        <w:jc w:val="left"/>
      </w:pPr>
    </w:p>
    <w:p w:rsidRPr="00481A94" w:rsidR="00E774A7" w:rsidRDefault="00DE5F62" w14:paraId="4AFD397C" w14:textId="77777777">
      <w:pPr>
        <w:pStyle w:val="Heading1"/>
        <w:numPr>
          <w:ilvl w:val="0"/>
          <w:numId w:val="1"/>
        </w:numPr>
        <w:tabs>
          <w:tab w:val="left" w:pos="682"/>
        </w:tabs>
        <w:ind w:hanging="566"/>
      </w:pPr>
      <w:bookmarkStart w:name="_Toc197076265" w:id="1"/>
      <w:r w:rsidRPr="00481A94">
        <w:rPr>
          <w:spacing w:val="-2"/>
          <w:lang w:bidi="en-US"/>
        </w:rPr>
        <w:t>Definitions</w:t>
      </w:r>
      <w:bookmarkEnd w:id="1"/>
    </w:p>
    <w:p w:rsidRPr="00481A94" w:rsidR="00E774A7" w:rsidRDefault="00DE5F62" w14:paraId="6F93375D" w14:textId="77777777">
      <w:pPr>
        <w:pStyle w:val="BodyText"/>
        <w:spacing w:before="271"/>
        <w:ind w:left="116" w:firstLine="0"/>
        <w:jc w:val="left"/>
      </w:pPr>
      <w:r w:rsidRPr="00481A94">
        <w:rPr>
          <w:lang w:bidi="en-US"/>
        </w:rPr>
        <w:t xml:space="preserve">The terms used in these General Terms and Conditions shall have the </w:t>
      </w:r>
      <w:r w:rsidRPr="00481A94">
        <w:rPr>
          <w:spacing w:val="-2"/>
          <w:lang w:bidi="en-US"/>
        </w:rPr>
        <w:t>meanings</w:t>
      </w:r>
      <w:r w:rsidRPr="00481A94">
        <w:rPr>
          <w:lang w:bidi="en-US"/>
        </w:rPr>
        <w:t xml:space="preserve"> defined in legislation or as specified below:</w:t>
      </w:r>
    </w:p>
    <w:p w:rsidRPr="00481A94" w:rsidR="00E774A7" w:rsidRDefault="00DE5F62" w14:paraId="7DBFEB82" w14:textId="77777777">
      <w:pPr>
        <w:pStyle w:val="ListParagraph"/>
        <w:numPr>
          <w:ilvl w:val="1"/>
          <w:numId w:val="1"/>
        </w:numPr>
        <w:tabs>
          <w:tab w:val="left" w:pos="795"/>
        </w:tabs>
        <w:spacing w:before="269"/>
        <w:ind w:right="118"/>
        <w:jc w:val="both"/>
        <w:rPr>
          <w:sz w:val="24"/>
        </w:rPr>
      </w:pPr>
      <w:r w:rsidRPr="00481A94">
        <w:rPr>
          <w:sz w:val="24"/>
          <w:lang w:bidi="en-US"/>
        </w:rPr>
        <w:t>Aggregator – a legal person that arranges the submission of balancing reserve offers to the System Operator by aggregating consumption or generating capacities.</w:t>
      </w:r>
    </w:p>
    <w:p w:rsidRPr="00481A94" w:rsidR="00E774A7" w:rsidRDefault="00DE5F62" w14:paraId="46BADCD4" w14:textId="77777777">
      <w:pPr>
        <w:pStyle w:val="ListParagraph"/>
        <w:numPr>
          <w:ilvl w:val="1"/>
          <w:numId w:val="1"/>
        </w:numPr>
        <w:tabs>
          <w:tab w:val="left" w:pos="795"/>
        </w:tabs>
        <w:ind w:right="118"/>
        <w:jc w:val="both"/>
        <w:rPr>
          <w:sz w:val="24"/>
        </w:rPr>
      </w:pPr>
      <w:r w:rsidRPr="00481A94">
        <w:rPr>
          <w:sz w:val="24"/>
          <w:lang w:bidi="en-US"/>
        </w:rPr>
        <w:t>Downward regulation – the sale of an additional quantity of electricity by the System Operator due to lower-than-forecast consumption or higher-than-forecast generation in the system, a need for countertrading, or threats to security of the power system’s supply.</w:t>
      </w:r>
    </w:p>
    <w:p w:rsidRPr="00481A94" w:rsidR="00E774A7" w:rsidRDefault="00DE5F62" w14:paraId="09B67B93" w14:textId="77777777">
      <w:pPr>
        <w:pStyle w:val="ListParagraph"/>
        <w:numPr>
          <w:ilvl w:val="1"/>
          <w:numId w:val="1"/>
        </w:numPr>
        <w:tabs>
          <w:tab w:val="left" w:pos="795"/>
        </w:tabs>
        <w:spacing w:before="1"/>
        <w:ind w:right="117"/>
        <w:jc w:val="both"/>
        <w:rPr>
          <w:sz w:val="24"/>
        </w:rPr>
      </w:pPr>
      <w:r w:rsidRPr="00481A94">
        <w:rPr>
          <w:sz w:val="24"/>
          <w:lang w:bidi="en-US"/>
        </w:rPr>
        <w:t>Baltic balancing capacity platform – a joint platform of the Baltic system operators for organising balancing capacity auctions.</w:t>
      </w:r>
    </w:p>
    <w:p w:rsidRPr="00481A94" w:rsidR="00E774A7" w:rsidRDefault="00DE5F62" w14:paraId="38AF5F9D" w14:textId="77777777">
      <w:pPr>
        <w:pStyle w:val="ListParagraph"/>
        <w:numPr>
          <w:ilvl w:val="1"/>
          <w:numId w:val="1"/>
        </w:numPr>
        <w:tabs>
          <w:tab w:val="left" w:pos="795"/>
        </w:tabs>
        <w:ind w:right="119"/>
        <w:jc w:val="both"/>
        <w:rPr>
          <w:sz w:val="24"/>
        </w:rPr>
      </w:pPr>
      <w:r w:rsidRPr="00481A94">
        <w:rPr>
          <w:sz w:val="24"/>
          <w:lang w:bidi="en-US"/>
        </w:rPr>
        <w:t>Balance provider – a legal person who has entered into a balance agreement with the System Operator in accordance with the procedure established by the Electricity Market Act and legislation adopted thereunder, in order to ensure their balance portfolio.</w:t>
      </w:r>
    </w:p>
    <w:p w:rsidRPr="00481A94" w:rsidR="00E774A7" w:rsidRDefault="00DE5F62" w14:paraId="3AF3E021" w14:textId="77777777">
      <w:pPr>
        <w:pStyle w:val="ListParagraph"/>
        <w:numPr>
          <w:ilvl w:val="1"/>
          <w:numId w:val="1"/>
        </w:numPr>
        <w:tabs>
          <w:tab w:val="left" w:pos="795"/>
        </w:tabs>
        <w:ind w:right="113"/>
        <w:jc w:val="both"/>
        <w:rPr>
          <w:sz w:val="24"/>
        </w:rPr>
      </w:pPr>
      <w:r w:rsidRPr="00481A94">
        <w:rPr>
          <w:sz w:val="24"/>
          <w:lang w:bidi="en-US"/>
        </w:rPr>
        <w:t xml:space="preserve">Prequalification – a process to validate the capability of a reserve unit or group to provide a compliant balancing service. The aFRR prequalification process and detailed requirements are described on Elering’s website in the document </w:t>
      </w:r>
      <w:r w:rsidRPr="00481A94">
        <w:rPr>
          <w:i/>
          <w:sz w:val="24"/>
          <w:lang w:bidi="en-US"/>
        </w:rPr>
        <w:t>“aFRR Service Prequalification Process and Technical Requirements”.</w:t>
      </w:r>
    </w:p>
    <w:p w:rsidRPr="00481A94" w:rsidR="00E774A7" w:rsidRDefault="00DE5F62" w14:paraId="38EA2084" w14:textId="77777777">
      <w:pPr>
        <w:pStyle w:val="ListParagraph"/>
        <w:numPr>
          <w:ilvl w:val="1"/>
          <w:numId w:val="1"/>
        </w:numPr>
        <w:tabs>
          <w:tab w:val="left" w:pos="795"/>
        </w:tabs>
        <w:ind w:right="117"/>
        <w:jc w:val="both"/>
        <w:rPr>
          <w:sz w:val="24"/>
        </w:rPr>
      </w:pPr>
      <w:r w:rsidRPr="00481A94">
        <w:rPr>
          <w:sz w:val="24"/>
          <w:lang w:bidi="en-US"/>
        </w:rPr>
        <w:t>Preparation time – the period from the System Operator’s order to supply balancing energy under the conditions of a standard product to the beginning of the ramping period.</w:t>
      </w:r>
    </w:p>
    <w:p w:rsidRPr="00481A94" w:rsidR="00E774A7" w:rsidRDefault="00DE5F62" w14:paraId="08EE2938" w14:textId="77777777">
      <w:pPr>
        <w:pStyle w:val="ListParagraph"/>
        <w:numPr>
          <w:ilvl w:val="1"/>
          <w:numId w:val="1"/>
        </w:numPr>
        <w:tabs>
          <w:tab w:val="left" w:pos="795"/>
        </w:tabs>
        <w:ind w:right="116"/>
        <w:jc w:val="both"/>
        <w:rPr>
          <w:sz w:val="24"/>
        </w:rPr>
      </w:pPr>
      <w:r w:rsidRPr="00481A94">
        <w:rPr>
          <w:sz w:val="24"/>
          <w:lang w:bidi="en-US"/>
        </w:rPr>
        <w:t xml:space="preserve">Independent aggregator – an aggregator whose balancing reserve offering unit is not located within the balance area of its own balance provider and who submits balancing reserve offers based on an agreement with a consumer. An independent aggregator is </w:t>
      </w:r>
      <w:r w:rsidRPr="00481A94">
        <w:rPr>
          <w:sz w:val="24"/>
          <w:lang w:bidi="en-US"/>
        </w:rPr>
        <w:lastRenderedPageBreak/>
        <w:t>subject to the same conditions as apply to aggregators.</w:t>
      </w:r>
    </w:p>
    <w:p w:rsidRPr="00481A94" w:rsidR="00E774A7" w:rsidRDefault="00E774A7" w14:paraId="33B004D7" w14:textId="77777777">
      <w:pPr>
        <w:jc w:val="both"/>
        <w:rPr>
          <w:sz w:val="24"/>
        </w:rPr>
        <w:sectPr w:rsidRPr="00481A94" w:rsidR="00E774A7">
          <w:pgSz w:w="11910" w:h="16840" w:orient="portrait"/>
          <w:pgMar w:top="1320" w:right="1300" w:bottom="640" w:left="1300" w:header="0" w:footer="456" w:gutter="0"/>
          <w:cols w:space="720"/>
        </w:sectPr>
      </w:pPr>
    </w:p>
    <w:p w:rsidRPr="00481A94" w:rsidR="00E774A7" w:rsidRDefault="00DE5F62" w14:paraId="02B66821" w14:textId="77777777">
      <w:pPr>
        <w:pStyle w:val="ListParagraph"/>
        <w:numPr>
          <w:ilvl w:val="1"/>
          <w:numId w:val="1"/>
        </w:numPr>
        <w:tabs>
          <w:tab w:val="left" w:pos="795"/>
        </w:tabs>
        <w:spacing w:before="76"/>
        <w:ind w:right="117"/>
        <w:jc w:val="both"/>
        <w:rPr>
          <w:sz w:val="24"/>
        </w:rPr>
      </w:pPr>
      <w:r w:rsidRPr="00481A94">
        <w:rPr>
          <w:sz w:val="24"/>
          <w:lang w:bidi="en-US"/>
        </w:rPr>
        <w:lastRenderedPageBreak/>
        <w:t>Divisibility – the ability of the System Operator to use only part of a balancing energy or capacity offer submitted by the Balancing Service Provider, both in terms of activated power and duration.</w:t>
      </w:r>
    </w:p>
    <w:p w:rsidRPr="00481A94" w:rsidR="00E774A7" w:rsidRDefault="00DE5F62" w14:paraId="2AC55A0F" w14:textId="77777777">
      <w:pPr>
        <w:pStyle w:val="ListParagraph"/>
        <w:numPr>
          <w:ilvl w:val="1"/>
          <w:numId w:val="1"/>
        </w:numPr>
        <w:tabs>
          <w:tab w:val="left" w:pos="795"/>
        </w:tabs>
        <w:spacing w:before="1"/>
        <w:ind w:right="114"/>
        <w:jc w:val="both"/>
        <w:rPr>
          <w:sz w:val="24"/>
        </w:rPr>
      </w:pPr>
      <w:r w:rsidRPr="00481A94">
        <w:rPr>
          <w:sz w:val="24"/>
          <w:lang w:bidi="en-US"/>
        </w:rPr>
        <w:t>Trading period (MTU –Market Time Unit) – a period of fifteen (15) minutes. The first trading period of the day is from 00:00 to 00:15, and the last trading period is from 23:45 to 00:00 (CE(S)T unless otherwise specified).</w:t>
      </w:r>
    </w:p>
    <w:p w:rsidRPr="00481A94" w:rsidR="00E774A7" w:rsidRDefault="00DE5F62" w14:paraId="701CC166" w14:textId="77777777">
      <w:pPr>
        <w:pStyle w:val="ListParagraph"/>
        <w:numPr>
          <w:ilvl w:val="1"/>
          <w:numId w:val="1"/>
        </w:numPr>
        <w:tabs>
          <w:tab w:val="left" w:pos="795"/>
        </w:tabs>
        <w:ind w:right="115"/>
        <w:jc w:val="both"/>
        <w:rPr>
          <w:sz w:val="24"/>
        </w:rPr>
      </w:pPr>
      <w:r w:rsidRPr="00481A94">
        <w:rPr>
          <w:sz w:val="24"/>
          <w:lang w:bidi="en-US"/>
        </w:rPr>
        <w:t>Validity period – the time window within which a balancing energy offer made by the Balancing Service Provider can be activated, and during which all parameters of the product must comply with requirements. The validity period is defined by a start and end time.</w:t>
      </w:r>
    </w:p>
    <w:p w:rsidRPr="00481A94" w:rsidR="00E774A7" w:rsidRDefault="00DE5F62" w14:paraId="1A344FA2" w14:textId="77777777">
      <w:pPr>
        <w:pStyle w:val="ListParagraph"/>
        <w:numPr>
          <w:ilvl w:val="1"/>
          <w:numId w:val="1"/>
        </w:numPr>
        <w:tabs>
          <w:tab w:val="left" w:pos="795"/>
        </w:tabs>
        <w:ind w:right="117"/>
        <w:jc w:val="both"/>
        <w:rPr>
          <w:sz w:val="24"/>
        </w:rPr>
      </w:pPr>
      <w:r w:rsidRPr="00481A94">
        <w:rPr>
          <w:sz w:val="24"/>
          <w:lang w:bidi="en-US"/>
        </w:rPr>
        <w:t>LER (Limited Energy Resource) reserve unit – a reserve unit that, without additional charging management, cannot continuously provide the service at full capacity for at least two hours, despite being prequalified for that capacity.</w:t>
      </w:r>
    </w:p>
    <w:p w:rsidRPr="00481A94" w:rsidR="00E774A7" w:rsidRDefault="00DE5F62" w14:paraId="63DFAAC7" w14:textId="77777777">
      <w:pPr>
        <w:pStyle w:val="ListParagraph"/>
        <w:numPr>
          <w:ilvl w:val="1"/>
          <w:numId w:val="1"/>
        </w:numPr>
        <w:tabs>
          <w:tab w:val="left" w:pos="795"/>
        </w:tabs>
        <w:ind w:right="114"/>
        <w:jc w:val="both"/>
        <w:rPr>
          <w:sz w:val="24"/>
        </w:rPr>
      </w:pPr>
      <w:r w:rsidRPr="00481A94">
        <w:rPr>
          <w:sz w:val="24"/>
          <w:lang w:bidi="en-US"/>
        </w:rPr>
        <w:t>PICASSO (Platform for the International Coordination of Automated Frequency Restoration and Stable System Operation) – pan-European platform for the exchange of aFRR standard products and for activation optimisation of automatically activated frequency restoration reserves.</w:t>
      </w:r>
    </w:p>
    <w:p w:rsidRPr="00481A94" w:rsidR="00E774A7" w:rsidRDefault="00DE5F62" w14:paraId="16A78596" w14:textId="77777777">
      <w:pPr>
        <w:pStyle w:val="ListParagraph"/>
        <w:numPr>
          <w:ilvl w:val="1"/>
          <w:numId w:val="1"/>
        </w:numPr>
        <w:tabs>
          <w:tab w:val="left" w:pos="795"/>
        </w:tabs>
        <w:spacing w:before="1"/>
        <w:ind w:hanging="679"/>
        <w:jc w:val="both"/>
        <w:rPr>
          <w:sz w:val="24"/>
        </w:rPr>
      </w:pPr>
      <w:r w:rsidRPr="00481A94">
        <w:rPr>
          <w:sz w:val="24"/>
          <w:lang w:bidi="en-US"/>
        </w:rPr>
        <w:t xml:space="preserve">aFRR – automatically activated frequency restoration </w:t>
      </w:r>
      <w:r w:rsidRPr="00481A94">
        <w:rPr>
          <w:spacing w:val="-2"/>
          <w:sz w:val="24"/>
          <w:lang w:bidi="en-US"/>
        </w:rPr>
        <w:t>reserve.</w:t>
      </w:r>
    </w:p>
    <w:p w:rsidRPr="00481A94" w:rsidR="00E774A7" w:rsidRDefault="00DE5F62" w14:paraId="33BC978C" w14:textId="77777777">
      <w:pPr>
        <w:pStyle w:val="ListParagraph"/>
        <w:numPr>
          <w:ilvl w:val="1"/>
          <w:numId w:val="1"/>
        </w:numPr>
        <w:tabs>
          <w:tab w:val="left" w:pos="795"/>
        </w:tabs>
        <w:ind w:right="116"/>
        <w:jc w:val="both"/>
        <w:rPr>
          <w:sz w:val="24"/>
        </w:rPr>
      </w:pPr>
      <w:r w:rsidRPr="00481A94">
        <w:rPr>
          <w:sz w:val="24"/>
          <w:lang w:bidi="en-US"/>
        </w:rPr>
        <w:t xml:space="preserve">Ramping period – the time interval, with a defined start and duration, during which the input and/or output active power is increased or </w:t>
      </w:r>
      <w:r w:rsidRPr="00481A94">
        <w:rPr>
          <w:spacing w:val="-2"/>
          <w:sz w:val="24"/>
          <w:lang w:bidi="en-US"/>
        </w:rPr>
        <w:t>decreased.</w:t>
      </w:r>
    </w:p>
    <w:p w:rsidRPr="00481A94" w:rsidR="00E774A7" w:rsidRDefault="00DE5F62" w14:paraId="650E9758" w14:textId="77777777">
      <w:pPr>
        <w:pStyle w:val="ListParagraph"/>
        <w:numPr>
          <w:ilvl w:val="1"/>
          <w:numId w:val="1"/>
        </w:numPr>
        <w:tabs>
          <w:tab w:val="left" w:pos="795"/>
        </w:tabs>
        <w:ind w:right="118"/>
        <w:jc w:val="both"/>
        <w:rPr>
          <w:sz w:val="24"/>
        </w:rPr>
      </w:pPr>
      <w:r w:rsidRPr="00481A94">
        <w:rPr>
          <w:sz w:val="24"/>
          <w:lang w:bidi="en-US"/>
        </w:rPr>
        <w:t>Balancing energy – electricity bought from or sold to the Balancing Service Provider by the System Operator to balance the system, delivered under the requirements defined in this document and the standard products.</w:t>
      </w:r>
    </w:p>
    <w:p w:rsidRPr="00481A94" w:rsidR="00E774A7" w:rsidRDefault="00DE5F62" w14:paraId="7BD101BA" w14:textId="77777777">
      <w:pPr>
        <w:pStyle w:val="ListParagraph"/>
        <w:numPr>
          <w:ilvl w:val="1"/>
          <w:numId w:val="1"/>
        </w:numPr>
        <w:tabs>
          <w:tab w:val="left" w:pos="795"/>
        </w:tabs>
        <w:ind w:right="118"/>
        <w:jc w:val="both"/>
        <w:rPr>
          <w:sz w:val="24"/>
        </w:rPr>
      </w:pPr>
      <w:r w:rsidRPr="00481A94">
        <w:rPr>
          <w:sz w:val="24"/>
          <w:lang w:bidi="en-US"/>
        </w:rPr>
        <w:t>Opening time for balancing service – the point in time from which balancing service offers for a standard product may be submitted and/or updated.</w:t>
      </w:r>
    </w:p>
    <w:p w:rsidRPr="00481A94" w:rsidR="00E774A7" w:rsidRDefault="00DE5F62" w14:paraId="1C3C38F4" w14:textId="77777777">
      <w:pPr>
        <w:pStyle w:val="ListParagraph"/>
        <w:numPr>
          <w:ilvl w:val="1"/>
          <w:numId w:val="1"/>
        </w:numPr>
        <w:tabs>
          <w:tab w:val="left" w:pos="795"/>
        </w:tabs>
        <w:ind w:right="114"/>
        <w:jc w:val="both"/>
        <w:rPr>
          <w:sz w:val="24"/>
        </w:rPr>
      </w:pPr>
      <w:r w:rsidRPr="00481A94">
        <w:rPr>
          <w:sz w:val="24"/>
          <w:lang w:bidi="en-US"/>
        </w:rPr>
        <w:t xml:space="preserve">Balancing Service Provider (BSP) – a legal person (producer, consumer, aggregator or independent aggregator) who offers </w:t>
      </w:r>
      <w:r w:rsidRPr="00481A94">
        <w:rPr>
          <w:spacing w:val="-2"/>
          <w:sz w:val="24"/>
          <w:lang w:bidi="en-US"/>
        </w:rPr>
        <w:t>balancing services</w:t>
      </w:r>
      <w:r w:rsidRPr="00481A94">
        <w:rPr>
          <w:sz w:val="24"/>
          <w:lang w:bidi="en-US"/>
        </w:rPr>
        <w:t xml:space="preserve"> to the System Operator under a balancing service agreement.</w:t>
      </w:r>
    </w:p>
    <w:p w:rsidRPr="00481A94" w:rsidR="00E774A7" w:rsidRDefault="00DE5F62" w14:paraId="4D61B032" w14:textId="77777777">
      <w:pPr>
        <w:pStyle w:val="ListParagraph"/>
        <w:numPr>
          <w:ilvl w:val="1"/>
          <w:numId w:val="1"/>
        </w:numPr>
        <w:tabs>
          <w:tab w:val="left" w:pos="795"/>
        </w:tabs>
        <w:ind w:right="114"/>
        <w:jc w:val="both"/>
        <w:rPr>
          <w:sz w:val="24"/>
        </w:rPr>
      </w:pPr>
      <w:r w:rsidRPr="00481A94">
        <w:rPr>
          <w:sz w:val="24"/>
          <w:lang w:bidi="en-US"/>
        </w:rPr>
        <w:t>Closing time for balancing service – the point in time after which no more balancing service offers may be submitted or updated for the respective standard product.</w:t>
      </w:r>
    </w:p>
    <w:p w:rsidRPr="00481A94" w:rsidR="00E774A7" w:rsidRDefault="00DE5F62" w14:paraId="37B159E9" w14:textId="77777777">
      <w:pPr>
        <w:pStyle w:val="ListParagraph"/>
        <w:numPr>
          <w:ilvl w:val="1"/>
          <w:numId w:val="1"/>
        </w:numPr>
        <w:tabs>
          <w:tab w:val="left" w:pos="795"/>
        </w:tabs>
        <w:spacing w:before="1"/>
        <w:ind w:right="115"/>
        <w:jc w:val="both"/>
        <w:rPr>
          <w:sz w:val="24"/>
        </w:rPr>
      </w:pPr>
      <w:r w:rsidRPr="00481A94">
        <w:rPr>
          <w:sz w:val="24"/>
          <w:lang w:bidi="en-US"/>
        </w:rPr>
        <w:t>Balancing service order – an order from the System Operator to the Balancing Service Provider to activate balancing reserve, under the conditions set out in the standard product and/or technical terms.</w:t>
      </w:r>
    </w:p>
    <w:p w:rsidRPr="00481A94" w:rsidR="00E774A7" w:rsidRDefault="00DE5F62" w14:paraId="29D32121" w14:textId="77777777">
      <w:pPr>
        <w:pStyle w:val="ListParagraph"/>
        <w:numPr>
          <w:ilvl w:val="1"/>
          <w:numId w:val="1"/>
        </w:numPr>
        <w:tabs>
          <w:tab w:val="left" w:pos="795"/>
        </w:tabs>
        <w:ind w:right="112"/>
        <w:jc w:val="both"/>
        <w:rPr>
          <w:sz w:val="24"/>
        </w:rPr>
      </w:pPr>
      <w:r w:rsidRPr="00481A94">
        <w:rPr>
          <w:sz w:val="24"/>
          <w:lang w:bidi="en-US"/>
        </w:rPr>
        <w:t>Balancing services – services involving the provision of balancing energy and/or balancing capacity.</w:t>
      </w:r>
    </w:p>
    <w:p w:rsidRPr="00481A94" w:rsidR="00E774A7" w:rsidRDefault="00DE5F62" w14:paraId="23AAAE88" w14:textId="77777777">
      <w:pPr>
        <w:pStyle w:val="ListParagraph"/>
        <w:numPr>
          <w:ilvl w:val="1"/>
          <w:numId w:val="1"/>
        </w:numPr>
        <w:tabs>
          <w:tab w:val="left" w:pos="795"/>
        </w:tabs>
        <w:ind w:right="117"/>
        <w:jc w:val="both"/>
        <w:rPr>
          <w:sz w:val="24"/>
        </w:rPr>
      </w:pPr>
      <w:r w:rsidRPr="00481A94">
        <w:rPr>
          <w:sz w:val="24"/>
          <w:lang w:bidi="en-US"/>
        </w:rPr>
        <w:t>Balancing capacity – the amount of reserve power held by the Balancing Service Provider under an agreement and for which the Balancing Service Provider has agreed to submit energy offers in the corresponding volume and during the contract period.</w:t>
      </w:r>
    </w:p>
    <w:p w:rsidRPr="00481A94" w:rsidR="00E774A7" w:rsidRDefault="00DE5F62" w14:paraId="65F64C14" w14:textId="77777777">
      <w:pPr>
        <w:pStyle w:val="ListParagraph"/>
        <w:numPr>
          <w:ilvl w:val="1"/>
          <w:numId w:val="1"/>
        </w:numPr>
        <w:tabs>
          <w:tab w:val="left" w:pos="795"/>
        </w:tabs>
        <w:ind w:right="116"/>
        <w:jc w:val="both"/>
        <w:rPr>
          <w:sz w:val="24"/>
        </w:rPr>
      </w:pPr>
      <w:r w:rsidRPr="00481A94">
        <w:rPr>
          <w:sz w:val="24"/>
          <w:lang w:bidi="en-US"/>
        </w:rPr>
        <w:t>Reserve-providing group (or reserve group) – a group consisting of an aggregated producer, demand aggregation and/or reserve units connected via more than one connection point, which fulfils the requirements for frequency containment reserves, frequency restoration reserves or replacement reserves.</w:t>
      </w:r>
    </w:p>
    <w:p w:rsidRPr="00481A94" w:rsidR="00E774A7" w:rsidRDefault="00DE5F62" w14:paraId="34D18FB5" w14:textId="77777777">
      <w:pPr>
        <w:pStyle w:val="ListParagraph"/>
        <w:numPr>
          <w:ilvl w:val="1"/>
          <w:numId w:val="1"/>
        </w:numPr>
        <w:tabs>
          <w:tab w:val="left" w:pos="795"/>
        </w:tabs>
        <w:ind w:right="118"/>
        <w:jc w:val="both"/>
        <w:rPr>
          <w:sz w:val="24"/>
        </w:rPr>
      </w:pPr>
      <w:r w:rsidRPr="00481A94">
        <w:rPr>
          <w:sz w:val="24"/>
          <w:lang w:bidi="en-US"/>
        </w:rPr>
        <w:t xml:space="preserve">Reserve-providing unit (or reserve unit) – either a single generating unit and/or demand facility connected to a common connection point, or an aggregated producer or demand aggregation, which fulfils the </w:t>
      </w:r>
      <w:r w:rsidRPr="00481A94">
        <w:rPr>
          <w:spacing w:val="-2"/>
          <w:sz w:val="24"/>
          <w:lang w:bidi="en-US"/>
        </w:rPr>
        <w:t>requirements</w:t>
      </w:r>
      <w:r w:rsidRPr="00481A94">
        <w:rPr>
          <w:sz w:val="24"/>
          <w:lang w:bidi="en-US"/>
        </w:rPr>
        <w:t xml:space="preserve"> for frequency containment reserves, frequency restoration reserves or replacement reserves.</w:t>
      </w:r>
    </w:p>
    <w:p w:rsidRPr="00481A94" w:rsidR="00E774A7" w:rsidRDefault="00DE5F62" w14:paraId="6682D091" w14:textId="77777777">
      <w:pPr>
        <w:pStyle w:val="ListParagraph"/>
        <w:numPr>
          <w:ilvl w:val="1"/>
          <w:numId w:val="1"/>
        </w:numPr>
        <w:tabs>
          <w:tab w:val="left" w:pos="795"/>
        </w:tabs>
        <w:ind w:right="117"/>
        <w:jc w:val="both"/>
        <w:rPr>
          <w:sz w:val="24"/>
        </w:rPr>
      </w:pPr>
      <w:r w:rsidRPr="00481A94">
        <w:rPr>
          <w:sz w:val="24"/>
          <w:lang w:bidi="en-US"/>
        </w:rPr>
        <w:t>SCADA (Supervisory Control and Data Acquisition) – a system for monitoring and controlling power system processes using computer systems and communications networks.</w:t>
      </w:r>
    </w:p>
    <w:p w:rsidRPr="00481A94" w:rsidR="00E774A7" w:rsidRDefault="00DE5F62" w14:paraId="43884542" w14:textId="77777777">
      <w:pPr>
        <w:pStyle w:val="ListParagraph"/>
        <w:numPr>
          <w:ilvl w:val="1"/>
          <w:numId w:val="1"/>
        </w:numPr>
        <w:tabs>
          <w:tab w:val="left" w:pos="795"/>
        </w:tabs>
        <w:spacing w:before="1"/>
        <w:ind w:right="117"/>
        <w:jc w:val="both"/>
        <w:rPr>
          <w:sz w:val="24"/>
        </w:rPr>
      </w:pPr>
      <w:r w:rsidRPr="00481A94">
        <w:rPr>
          <w:sz w:val="24"/>
          <w:lang w:bidi="en-US"/>
        </w:rPr>
        <w:t>Setpoint – the net output power reference value of a power-generating facility or demand facility in the respective market time unit, excluding any balancing.</w:t>
      </w:r>
    </w:p>
    <w:p w:rsidRPr="00481A94" w:rsidR="00E774A7" w:rsidRDefault="00E774A7" w14:paraId="5DD5D51C" w14:textId="77777777">
      <w:pPr>
        <w:jc w:val="both"/>
        <w:rPr>
          <w:sz w:val="24"/>
        </w:rPr>
        <w:sectPr w:rsidRPr="00481A94" w:rsidR="00E774A7">
          <w:pgSz w:w="11910" w:h="16840" w:orient="portrait"/>
          <w:pgMar w:top="1320" w:right="1300" w:bottom="640" w:left="1300" w:header="0" w:footer="456" w:gutter="0"/>
          <w:cols w:space="720"/>
        </w:sectPr>
      </w:pPr>
    </w:p>
    <w:p w:rsidRPr="00481A94" w:rsidR="00E774A7" w:rsidRDefault="00DE5F62" w14:paraId="6F5D6EBB" w14:textId="77777777">
      <w:pPr>
        <w:pStyle w:val="ListParagraph"/>
        <w:numPr>
          <w:ilvl w:val="1"/>
          <w:numId w:val="1"/>
        </w:numPr>
        <w:tabs>
          <w:tab w:val="left" w:pos="795"/>
        </w:tabs>
        <w:spacing w:before="76"/>
        <w:ind w:right="120"/>
        <w:jc w:val="both"/>
        <w:rPr>
          <w:sz w:val="24"/>
        </w:rPr>
      </w:pPr>
      <w:r w:rsidRPr="00481A94">
        <w:rPr>
          <w:sz w:val="24"/>
          <w:lang w:bidi="en-US"/>
        </w:rPr>
        <w:lastRenderedPageBreak/>
        <w:t>Ramp-down time – the time required to change the load from full delivery to the setpoint, or from full withdrawal back to the setpoint.</w:t>
      </w:r>
    </w:p>
    <w:p w:rsidRPr="00481A94" w:rsidR="00E774A7" w:rsidRDefault="00DE5F62" w14:paraId="6E6DFAC9" w14:textId="77777777">
      <w:pPr>
        <w:pStyle w:val="ListParagraph"/>
        <w:numPr>
          <w:ilvl w:val="1"/>
          <w:numId w:val="1"/>
        </w:numPr>
        <w:tabs>
          <w:tab w:val="left" w:pos="795"/>
        </w:tabs>
        <w:spacing w:before="1"/>
        <w:ind w:right="114"/>
        <w:jc w:val="both"/>
        <w:rPr>
          <w:sz w:val="24"/>
        </w:rPr>
      </w:pPr>
      <w:r w:rsidRPr="00481A94">
        <w:rPr>
          <w:sz w:val="24"/>
          <w:lang w:bidi="en-US"/>
        </w:rPr>
        <w:t>Standard product – a harmonised balancing product for the exchange of balancing services as defined by the transmission system operators. The parameters of standard products are described in the standard product conditions.</w:t>
      </w:r>
    </w:p>
    <w:p w:rsidRPr="00481A94" w:rsidR="00E774A7" w:rsidRDefault="00DE5F62" w14:paraId="0C3ADECB" w14:textId="77777777">
      <w:pPr>
        <w:pStyle w:val="ListParagraph"/>
        <w:numPr>
          <w:ilvl w:val="1"/>
          <w:numId w:val="1"/>
        </w:numPr>
        <w:tabs>
          <w:tab w:val="left" w:pos="795"/>
        </w:tabs>
        <w:ind w:right="119"/>
        <w:jc w:val="both"/>
        <w:rPr>
          <w:sz w:val="24"/>
        </w:rPr>
      </w:pPr>
      <w:r w:rsidRPr="00481A94">
        <w:rPr>
          <w:sz w:val="24"/>
          <w:lang w:bidi="en-US"/>
        </w:rPr>
        <w:t>Adjusted setpoint – the net output power reference value of a power-generating facility or demand facility in the respective market time unit, taking into account the balancing order issued by the System Operator.</w:t>
      </w:r>
    </w:p>
    <w:p w:rsidRPr="00481A94" w:rsidR="00E774A7" w:rsidRDefault="00DE5F62" w14:paraId="4981C945" w14:textId="77777777">
      <w:pPr>
        <w:pStyle w:val="ListParagraph"/>
        <w:numPr>
          <w:ilvl w:val="1"/>
          <w:numId w:val="1"/>
        </w:numPr>
        <w:tabs>
          <w:tab w:val="left" w:pos="795"/>
        </w:tabs>
        <w:ind w:right="114"/>
        <w:jc w:val="both"/>
        <w:rPr>
          <w:sz w:val="24"/>
        </w:rPr>
      </w:pPr>
      <w:r w:rsidRPr="00481A94">
        <w:rPr>
          <w:sz w:val="24"/>
          <w:lang w:bidi="en-US"/>
        </w:rPr>
        <w:t>Demand facility – a facility that consumes electricity and is connected at one or more connection points to the transmission or distribution network. The distribution network and/or auxiliary systems of a generating unit are not part of the demand facility.</w:t>
      </w:r>
    </w:p>
    <w:p w:rsidRPr="00481A94" w:rsidR="00E774A7" w:rsidRDefault="00DE5F62" w14:paraId="13132666" w14:textId="77777777">
      <w:pPr>
        <w:pStyle w:val="ListParagraph"/>
        <w:numPr>
          <w:ilvl w:val="1"/>
          <w:numId w:val="1"/>
        </w:numPr>
        <w:tabs>
          <w:tab w:val="left" w:pos="795"/>
        </w:tabs>
        <w:ind w:right="120"/>
        <w:jc w:val="both"/>
        <w:rPr>
          <w:sz w:val="24"/>
        </w:rPr>
      </w:pPr>
      <w:r w:rsidRPr="00481A94">
        <w:rPr>
          <w:sz w:val="24"/>
          <w:lang w:bidi="en-US"/>
        </w:rPr>
        <w:t>Delivery time – the period during which the Balancing Service Provider supplies balancing energy at full capacity in accordance with the order of the System Operator.</w:t>
      </w:r>
    </w:p>
    <w:p w:rsidRPr="00481A94" w:rsidR="00E774A7" w:rsidRDefault="00DE5F62" w14:paraId="60B4D1B9" w14:textId="77777777">
      <w:pPr>
        <w:pStyle w:val="ListParagraph"/>
        <w:numPr>
          <w:ilvl w:val="1"/>
          <w:numId w:val="1"/>
        </w:numPr>
        <w:tabs>
          <w:tab w:val="left" w:pos="795"/>
        </w:tabs>
        <w:ind w:right="115"/>
        <w:jc w:val="both"/>
        <w:rPr>
          <w:sz w:val="24"/>
        </w:rPr>
      </w:pPr>
      <w:r w:rsidRPr="00481A94">
        <w:rPr>
          <w:sz w:val="24"/>
          <w:lang w:bidi="en-US"/>
        </w:rPr>
        <w:t>Full activation time – the time from the System Operator’s order to deliver balancing energy (under standard product conditions) until the delivery of the full product volume is achieved.</w:t>
      </w:r>
    </w:p>
    <w:p w:rsidRPr="00481A94" w:rsidR="00E774A7" w:rsidRDefault="00DE5F62" w14:paraId="13DE88AA" w14:textId="77777777">
      <w:pPr>
        <w:pStyle w:val="ListParagraph"/>
        <w:numPr>
          <w:ilvl w:val="1"/>
          <w:numId w:val="1"/>
        </w:numPr>
        <w:tabs>
          <w:tab w:val="left" w:pos="795"/>
        </w:tabs>
        <w:spacing w:before="1"/>
        <w:ind w:right="114"/>
        <w:jc w:val="both"/>
        <w:rPr>
          <w:sz w:val="24"/>
        </w:rPr>
      </w:pPr>
      <w:r w:rsidRPr="00481A94">
        <w:rPr>
          <w:sz w:val="24"/>
          <w:lang w:bidi="en-US"/>
        </w:rPr>
        <w:t>Capacity Market Rules – the rules for the common Baltic reserve capacity market developed by the Baltic system operators and approved by regulators, based on the methodology of the Baltic capacity calculation area in accordance with Article 41(1) of Regulation (EU) 2017/2195 of the European Commission, and the methodology under Articles 33(1) and 38(1) thereof.  Valid methodologies are published on the Elering website.</w:t>
      </w:r>
    </w:p>
    <w:p w:rsidRPr="00481A94" w:rsidR="00E774A7" w:rsidRDefault="00DE5F62" w14:paraId="5B2DAF28" w14:textId="77777777">
      <w:pPr>
        <w:pStyle w:val="ListParagraph"/>
        <w:numPr>
          <w:ilvl w:val="1"/>
          <w:numId w:val="1"/>
        </w:numPr>
        <w:tabs>
          <w:tab w:val="left" w:pos="795"/>
        </w:tabs>
        <w:ind w:right="116"/>
        <w:jc w:val="both"/>
        <w:rPr>
          <w:sz w:val="24"/>
        </w:rPr>
      </w:pPr>
      <w:r w:rsidRPr="00481A94">
        <w:rPr>
          <w:sz w:val="24"/>
          <w:lang w:bidi="en-US"/>
        </w:rPr>
        <w:t>Connecting System Operator – a system operator responsible for operations in the area where balancing service providers and balance providers must comply with the Standard Terms and Conditions.</w:t>
      </w:r>
    </w:p>
    <w:p w:rsidRPr="00481A94" w:rsidR="00E774A7" w:rsidRDefault="00DE5F62" w14:paraId="02A583BA" w14:textId="77777777">
      <w:pPr>
        <w:pStyle w:val="ListParagraph"/>
        <w:numPr>
          <w:ilvl w:val="1"/>
          <w:numId w:val="1"/>
        </w:numPr>
        <w:tabs>
          <w:tab w:val="left" w:pos="795"/>
        </w:tabs>
        <w:ind w:right="117"/>
        <w:jc w:val="both"/>
        <w:rPr>
          <w:sz w:val="24"/>
        </w:rPr>
      </w:pPr>
      <w:r w:rsidRPr="00481A94">
        <w:rPr>
          <w:sz w:val="24"/>
          <w:lang w:bidi="en-US"/>
        </w:rPr>
        <w:t>Upward regulation – the purchase of an additional quantity of electricity by the System Operator due to higher-than-forecast consumption or lower-than-forecast generation in the system, unexpected generating capacity outages, a need for countertrading, or threats to security of the power system’s supply.</w:t>
      </w:r>
    </w:p>
    <w:p w:rsidRPr="00481A94" w:rsidR="00E774A7" w:rsidRDefault="00E774A7" w14:paraId="22BB2328" w14:textId="77777777">
      <w:pPr>
        <w:pStyle w:val="BodyText"/>
        <w:ind w:left="0" w:firstLine="0"/>
        <w:jc w:val="left"/>
      </w:pPr>
    </w:p>
    <w:p w:rsidRPr="00481A94" w:rsidR="00E774A7" w:rsidRDefault="00DE5F62" w14:paraId="00406BF0" w14:textId="77777777">
      <w:pPr>
        <w:pStyle w:val="Heading1"/>
        <w:numPr>
          <w:ilvl w:val="0"/>
          <w:numId w:val="1"/>
        </w:numPr>
        <w:tabs>
          <w:tab w:val="left" w:pos="682"/>
        </w:tabs>
        <w:ind w:hanging="566"/>
      </w:pPr>
      <w:bookmarkStart w:name="_Toc197076266" w:id="2"/>
      <w:r w:rsidRPr="00481A94">
        <w:rPr>
          <w:lang w:bidi="en-US"/>
        </w:rPr>
        <w:t xml:space="preserve">Conclusion of Balancing Service Agreement and </w:t>
      </w:r>
      <w:r w:rsidRPr="00481A94">
        <w:rPr>
          <w:spacing w:val="-2"/>
          <w:lang w:bidi="en-US"/>
        </w:rPr>
        <w:t>Prequalification</w:t>
      </w:r>
      <w:r w:rsidRPr="00481A94">
        <w:rPr>
          <w:lang w:bidi="en-US"/>
        </w:rPr>
        <w:t xml:space="preserve"> of Reserve Units</w:t>
      </w:r>
      <w:bookmarkEnd w:id="2"/>
    </w:p>
    <w:p w:rsidRPr="00481A94" w:rsidR="00E774A7" w:rsidRDefault="00E774A7" w14:paraId="4279755C" w14:textId="77777777">
      <w:pPr>
        <w:pStyle w:val="BodyText"/>
        <w:ind w:left="0" w:firstLine="0"/>
        <w:jc w:val="left"/>
        <w:rPr>
          <w:b/>
        </w:rPr>
      </w:pPr>
    </w:p>
    <w:p w:rsidRPr="00481A94" w:rsidR="00E774A7" w:rsidRDefault="00DE5F62" w14:paraId="4898137A" w14:textId="77777777">
      <w:pPr>
        <w:pStyle w:val="ListParagraph"/>
        <w:numPr>
          <w:ilvl w:val="1"/>
          <w:numId w:val="1"/>
        </w:numPr>
        <w:tabs>
          <w:tab w:val="left" w:pos="795"/>
        </w:tabs>
        <w:spacing w:before="1"/>
        <w:ind w:hanging="679"/>
        <w:rPr>
          <w:sz w:val="24"/>
        </w:rPr>
      </w:pPr>
      <w:r w:rsidRPr="00481A94">
        <w:rPr>
          <w:sz w:val="24"/>
          <w:lang w:bidi="en-US"/>
        </w:rPr>
        <w:t xml:space="preserve">The System Operator shall enter into a balancing service agreement with the Balancing Service Provider </w:t>
      </w:r>
      <w:r w:rsidRPr="00481A94">
        <w:rPr>
          <w:spacing w:val="-4"/>
          <w:sz w:val="24"/>
          <w:lang w:bidi="en-US"/>
        </w:rPr>
        <w:t>if:</w:t>
      </w:r>
    </w:p>
    <w:p w:rsidRPr="00481A94" w:rsidR="00E774A7" w:rsidRDefault="00DE5F62" w14:paraId="0D301B5F" w14:textId="77777777">
      <w:pPr>
        <w:pStyle w:val="ListParagraph"/>
        <w:numPr>
          <w:ilvl w:val="2"/>
          <w:numId w:val="1"/>
        </w:numPr>
        <w:tabs>
          <w:tab w:val="left" w:pos="968"/>
        </w:tabs>
        <w:rPr>
          <w:sz w:val="24"/>
        </w:rPr>
      </w:pPr>
      <w:r w:rsidRPr="00481A94">
        <w:rPr>
          <w:sz w:val="24"/>
          <w:lang w:bidi="en-US"/>
        </w:rPr>
        <w:t xml:space="preserve">the System Operator is the </w:t>
      </w:r>
      <w:r w:rsidRPr="00481A94">
        <w:rPr>
          <w:spacing w:val="-2"/>
          <w:sz w:val="24"/>
          <w:lang w:bidi="en-US"/>
        </w:rPr>
        <w:t>Connecting System Operator</w:t>
      </w:r>
      <w:r w:rsidRPr="00481A94">
        <w:rPr>
          <w:sz w:val="24"/>
          <w:lang w:bidi="en-US"/>
        </w:rPr>
        <w:t xml:space="preserve"> in relation to the Balancing Service Provider;</w:t>
      </w:r>
    </w:p>
    <w:p w:rsidRPr="00481A94" w:rsidR="00E774A7" w:rsidRDefault="00DE5F62" w14:paraId="0996BC25" w14:textId="77777777">
      <w:pPr>
        <w:pStyle w:val="ListParagraph"/>
        <w:numPr>
          <w:ilvl w:val="2"/>
          <w:numId w:val="1"/>
        </w:numPr>
        <w:tabs>
          <w:tab w:val="left" w:pos="968"/>
        </w:tabs>
        <w:ind w:right="116"/>
        <w:rPr>
          <w:sz w:val="24"/>
        </w:rPr>
      </w:pPr>
      <w:r w:rsidRPr="00481A94">
        <w:rPr>
          <w:sz w:val="24"/>
          <w:lang w:bidi="en-US"/>
        </w:rPr>
        <w:t xml:space="preserve">the product offered by the Balancing Service Provider is located within the </w:t>
      </w:r>
      <w:r w:rsidRPr="00481A94">
        <w:rPr>
          <w:spacing w:val="-2"/>
          <w:sz w:val="24"/>
          <w:lang w:bidi="en-US"/>
        </w:rPr>
        <w:t>control area</w:t>
      </w:r>
      <w:r w:rsidRPr="00481A94">
        <w:rPr>
          <w:sz w:val="24"/>
          <w:lang w:bidi="en-US"/>
        </w:rPr>
        <w:t xml:space="preserve"> of the System Operator;</w:t>
      </w:r>
    </w:p>
    <w:p w:rsidRPr="00481A94" w:rsidR="00E774A7" w:rsidRDefault="00DE5F62" w14:paraId="76BC867E" w14:textId="77777777">
      <w:pPr>
        <w:pStyle w:val="ListParagraph"/>
        <w:numPr>
          <w:ilvl w:val="2"/>
          <w:numId w:val="1"/>
        </w:numPr>
        <w:tabs>
          <w:tab w:val="left" w:pos="968"/>
        </w:tabs>
        <w:ind w:right="111"/>
        <w:rPr>
          <w:sz w:val="24"/>
        </w:rPr>
      </w:pPr>
      <w:r w:rsidRPr="00481A94">
        <w:rPr>
          <w:sz w:val="24"/>
          <w:lang w:bidi="en-US"/>
        </w:rPr>
        <w:t>the Balancing Service Provider is a balance provider or has a written agreement with a balance provider who ensures an open supply contract on its behalf.</w:t>
      </w:r>
    </w:p>
    <w:p w:rsidRPr="00481A94" w:rsidR="00E774A7" w:rsidRDefault="00DE5F62" w14:paraId="398092AD" w14:textId="77777777">
      <w:pPr>
        <w:pStyle w:val="ListParagraph"/>
        <w:numPr>
          <w:ilvl w:val="1"/>
          <w:numId w:val="1"/>
        </w:numPr>
        <w:tabs>
          <w:tab w:val="left" w:pos="795"/>
        </w:tabs>
        <w:ind w:hanging="679"/>
        <w:rPr>
          <w:sz w:val="24"/>
        </w:rPr>
      </w:pPr>
      <w:r w:rsidRPr="00481A94">
        <w:rPr>
          <w:sz w:val="24"/>
          <w:lang w:bidi="en-US"/>
        </w:rPr>
        <w:t xml:space="preserve">The System Operator shall prequalify a reserve unit </w:t>
      </w:r>
      <w:r w:rsidRPr="00481A94">
        <w:rPr>
          <w:spacing w:val="-4"/>
          <w:sz w:val="24"/>
          <w:lang w:bidi="en-US"/>
        </w:rPr>
        <w:t>if:</w:t>
      </w:r>
    </w:p>
    <w:p w:rsidRPr="00481A94" w:rsidR="00E774A7" w:rsidRDefault="00DE5F62" w14:paraId="1487B6EA" w14:textId="77777777">
      <w:pPr>
        <w:pStyle w:val="ListParagraph"/>
        <w:numPr>
          <w:ilvl w:val="2"/>
          <w:numId w:val="1"/>
        </w:numPr>
        <w:tabs>
          <w:tab w:val="left" w:pos="968"/>
        </w:tabs>
        <w:ind w:right="114"/>
        <w:jc w:val="both"/>
        <w:rPr>
          <w:sz w:val="24"/>
        </w:rPr>
      </w:pPr>
      <w:r w:rsidRPr="00481A94">
        <w:rPr>
          <w:sz w:val="24"/>
          <w:lang w:bidi="en-US"/>
        </w:rPr>
        <w:t>the Balancing Service Provider confirms that the offered product meets the conditions of the standard product and that the reserve unit or reserve group providing the service has successfully completed the prequalification process.</w:t>
      </w:r>
    </w:p>
    <w:p w:rsidRPr="00481A94" w:rsidR="00E774A7" w:rsidRDefault="00DE5F62" w14:paraId="3580EE19" w14:textId="77777777">
      <w:pPr>
        <w:pStyle w:val="ListParagraph"/>
        <w:numPr>
          <w:ilvl w:val="3"/>
          <w:numId w:val="1"/>
        </w:numPr>
        <w:tabs>
          <w:tab w:val="left" w:pos="1531"/>
        </w:tabs>
        <w:ind w:left="1531" w:hanging="849"/>
        <w:jc w:val="both"/>
        <w:rPr>
          <w:sz w:val="24"/>
        </w:rPr>
      </w:pPr>
      <w:r w:rsidRPr="00481A94">
        <w:rPr>
          <w:sz w:val="24"/>
          <w:lang w:bidi="en-US"/>
        </w:rPr>
        <w:t xml:space="preserve">The prequalified status shall remain valid for 5 </w:t>
      </w:r>
      <w:r w:rsidRPr="00481A94">
        <w:rPr>
          <w:spacing w:val="-2"/>
          <w:sz w:val="24"/>
          <w:lang w:bidi="en-US"/>
        </w:rPr>
        <w:t>years;</w:t>
      </w:r>
    </w:p>
    <w:p w:rsidRPr="00481A94" w:rsidR="00E774A7" w:rsidRDefault="00DE5F62" w14:paraId="2E3B0CAD" w14:textId="77777777">
      <w:pPr>
        <w:pStyle w:val="ListParagraph"/>
        <w:numPr>
          <w:ilvl w:val="3"/>
          <w:numId w:val="1"/>
        </w:numPr>
        <w:tabs>
          <w:tab w:val="left" w:pos="1393"/>
          <w:tab w:val="left" w:pos="1531"/>
        </w:tabs>
        <w:ind w:left="1393" w:right="116" w:hanging="711"/>
        <w:jc w:val="both"/>
        <w:rPr>
          <w:sz w:val="24"/>
        </w:rPr>
      </w:pPr>
      <w:r w:rsidRPr="00481A94">
        <w:rPr>
          <w:sz w:val="24"/>
          <w:lang w:bidi="en-US"/>
        </w:rPr>
        <w:t>In the event of technical changes to a prequalified reserve unit or its control system, the Balancing Service Provider shall notify the System Operator prior to making the changes. The System Operator shall assess whether the changes require a new prequalification process;</w:t>
      </w:r>
    </w:p>
    <w:p w:rsidRPr="00481A94" w:rsidR="00E774A7" w:rsidRDefault="00DE5F62" w14:paraId="2A62094A" w14:textId="77777777">
      <w:pPr>
        <w:pStyle w:val="ListParagraph"/>
        <w:numPr>
          <w:ilvl w:val="3"/>
          <w:numId w:val="1"/>
        </w:numPr>
        <w:tabs>
          <w:tab w:val="left" w:pos="1393"/>
          <w:tab w:val="left" w:pos="1531"/>
        </w:tabs>
        <w:ind w:left="1393" w:right="115" w:hanging="711"/>
        <w:jc w:val="both"/>
        <w:rPr>
          <w:i/>
          <w:sz w:val="24"/>
        </w:rPr>
      </w:pPr>
      <w:r w:rsidRPr="00481A94">
        <w:rPr>
          <w:sz w:val="24"/>
          <w:lang w:bidi="en-US"/>
        </w:rPr>
        <w:t xml:space="preserve">The prequalification process and technical requirements are described on the System Operator’s website in the document </w:t>
      </w:r>
      <w:r w:rsidRPr="00481A94">
        <w:rPr>
          <w:i/>
          <w:sz w:val="24"/>
          <w:lang w:bidi="en-US"/>
        </w:rPr>
        <w:t xml:space="preserve">“aFRR Service Prequalification Process and Technical </w:t>
      </w:r>
      <w:r w:rsidRPr="00481A94">
        <w:rPr>
          <w:i/>
          <w:spacing w:val="-2"/>
          <w:sz w:val="24"/>
          <w:lang w:bidi="en-US"/>
        </w:rPr>
        <w:t>Requirements”;</w:t>
      </w:r>
    </w:p>
    <w:p w:rsidRPr="00481A94" w:rsidR="00E774A7" w:rsidRDefault="00E774A7" w14:paraId="0E0B1774" w14:textId="77777777">
      <w:pPr>
        <w:jc w:val="both"/>
        <w:rPr>
          <w:sz w:val="24"/>
        </w:rPr>
        <w:sectPr w:rsidRPr="00481A94" w:rsidR="00E774A7">
          <w:pgSz w:w="11910" w:h="16840" w:orient="portrait"/>
          <w:pgMar w:top="1320" w:right="1300" w:bottom="640" w:left="1300" w:header="0" w:footer="456" w:gutter="0"/>
          <w:cols w:space="720"/>
        </w:sectPr>
      </w:pPr>
    </w:p>
    <w:p w:rsidRPr="00481A94" w:rsidR="00E774A7" w:rsidRDefault="00DE5F62" w14:paraId="5A8F8020" w14:textId="77777777">
      <w:pPr>
        <w:pStyle w:val="ListParagraph"/>
        <w:numPr>
          <w:ilvl w:val="3"/>
          <w:numId w:val="1"/>
        </w:numPr>
        <w:tabs>
          <w:tab w:val="left" w:pos="1393"/>
          <w:tab w:val="left" w:pos="1531"/>
        </w:tabs>
        <w:spacing w:before="76"/>
        <w:ind w:left="1393" w:right="113" w:hanging="711"/>
        <w:jc w:val="both"/>
        <w:rPr>
          <w:sz w:val="24"/>
        </w:rPr>
      </w:pPr>
      <w:r w:rsidRPr="00481A94">
        <w:rPr>
          <w:sz w:val="24"/>
          <w:lang w:bidi="en-US"/>
        </w:rPr>
        <w:lastRenderedPageBreak/>
        <w:t>The Balancing Service Provider shall ensure and demonstrate compliance with all requirements necessary for the provision of the balancing service, including for data exchange, activation, delivery of balancing energy, termination of delivery and settlement.</w:t>
      </w:r>
    </w:p>
    <w:p w:rsidRPr="00481A94" w:rsidR="00E774A7" w:rsidRDefault="00E774A7" w14:paraId="4E33344D" w14:textId="77777777">
      <w:pPr>
        <w:pStyle w:val="BodyText"/>
        <w:spacing w:before="1"/>
        <w:ind w:left="0" w:firstLine="0"/>
        <w:jc w:val="left"/>
      </w:pPr>
    </w:p>
    <w:p w:rsidRPr="00481A94" w:rsidR="00E774A7" w:rsidRDefault="00DE5F62" w14:paraId="1D6A3E4C" w14:textId="77777777">
      <w:pPr>
        <w:pStyle w:val="Heading1"/>
        <w:numPr>
          <w:ilvl w:val="0"/>
          <w:numId w:val="1"/>
        </w:numPr>
        <w:tabs>
          <w:tab w:val="left" w:pos="682"/>
        </w:tabs>
        <w:ind w:hanging="566"/>
      </w:pPr>
      <w:bookmarkStart w:name="_Toc197076267" w:id="3"/>
      <w:r w:rsidRPr="00481A94">
        <w:rPr>
          <w:spacing w:val="-2"/>
          <w:lang w:bidi="en-US"/>
        </w:rPr>
        <w:t>Procurement of</w:t>
      </w:r>
      <w:r w:rsidRPr="00481A94">
        <w:rPr>
          <w:lang w:bidi="en-US"/>
        </w:rPr>
        <w:t xml:space="preserve"> Balancing Capacity</w:t>
      </w:r>
      <w:bookmarkEnd w:id="3"/>
    </w:p>
    <w:p w:rsidRPr="00481A94" w:rsidR="00E774A7" w:rsidRDefault="00E774A7" w14:paraId="0FE4B8A9" w14:textId="77777777">
      <w:pPr>
        <w:pStyle w:val="BodyText"/>
        <w:ind w:left="0" w:firstLine="0"/>
        <w:jc w:val="left"/>
        <w:rPr>
          <w:b/>
        </w:rPr>
      </w:pPr>
    </w:p>
    <w:p w:rsidRPr="00481A94" w:rsidR="00E774A7" w:rsidRDefault="00DE5F62" w14:paraId="548CF712" w14:textId="77777777">
      <w:pPr>
        <w:pStyle w:val="ListParagraph"/>
        <w:numPr>
          <w:ilvl w:val="1"/>
          <w:numId w:val="1"/>
        </w:numPr>
        <w:tabs>
          <w:tab w:val="left" w:pos="795"/>
        </w:tabs>
        <w:ind w:right="116"/>
        <w:jc w:val="both"/>
        <w:rPr>
          <w:sz w:val="24"/>
        </w:rPr>
      </w:pPr>
      <w:r w:rsidRPr="00481A94">
        <w:rPr>
          <w:sz w:val="24"/>
          <w:lang w:bidi="en-US"/>
        </w:rPr>
        <w:t>The Balancing Service Provider shall submit balancing capacity offers to the Connecting System Operator. Offers may be submitted only for previously prequalified assets</w:t>
      </w:r>
      <w:r w:rsidRPr="00481A94">
        <w:rPr>
          <w:spacing w:val="-2"/>
          <w:sz w:val="24"/>
          <w:lang w:bidi="en-US"/>
        </w:rPr>
        <w:t>.</w:t>
      </w:r>
    </w:p>
    <w:p w:rsidRPr="00481A94" w:rsidR="00E774A7" w:rsidRDefault="00DE5F62" w14:paraId="3EEF58E9" w14:textId="77777777">
      <w:pPr>
        <w:pStyle w:val="ListParagraph"/>
        <w:numPr>
          <w:ilvl w:val="2"/>
          <w:numId w:val="1"/>
        </w:numPr>
        <w:tabs>
          <w:tab w:val="left" w:pos="968"/>
        </w:tabs>
        <w:ind w:right="118"/>
        <w:jc w:val="both"/>
        <w:rPr>
          <w:sz w:val="24"/>
        </w:rPr>
      </w:pPr>
      <w:r w:rsidRPr="00481A94">
        <w:rPr>
          <w:sz w:val="24"/>
          <w:lang w:bidi="en-US"/>
        </w:rPr>
        <w:t>The offered balancing service must comply with all technical conditions of the standard product, and the offer must be submitted in the format and by the means specified by the System Operator;</w:t>
      </w:r>
    </w:p>
    <w:p w:rsidRPr="00481A94" w:rsidR="00E774A7" w:rsidRDefault="00DE5F62" w14:paraId="7F32C7A5" w14:textId="77777777">
      <w:pPr>
        <w:pStyle w:val="ListParagraph"/>
        <w:numPr>
          <w:ilvl w:val="2"/>
          <w:numId w:val="1"/>
        </w:numPr>
        <w:tabs>
          <w:tab w:val="left" w:pos="968"/>
        </w:tabs>
        <w:ind w:right="119"/>
        <w:jc w:val="both"/>
        <w:rPr>
          <w:sz w:val="24"/>
        </w:rPr>
      </w:pPr>
      <w:r w:rsidRPr="00481A94">
        <w:rPr>
          <w:sz w:val="24"/>
          <w:lang w:bidi="en-US"/>
        </w:rPr>
        <w:t>The minimum price for balancing capacity offers is 0, and the maximum price equals the day-ahead market price cap set by the power exchange;</w:t>
      </w:r>
    </w:p>
    <w:p w:rsidRPr="00481A94" w:rsidR="00E774A7" w:rsidRDefault="00DE5F62" w14:paraId="5A21FF73" w14:textId="77777777">
      <w:pPr>
        <w:pStyle w:val="ListParagraph"/>
        <w:numPr>
          <w:ilvl w:val="2"/>
          <w:numId w:val="1"/>
        </w:numPr>
        <w:tabs>
          <w:tab w:val="left" w:pos="968"/>
        </w:tabs>
        <w:ind w:right="114"/>
        <w:jc w:val="both"/>
        <w:rPr>
          <w:sz w:val="24"/>
        </w:rPr>
      </w:pPr>
      <w:r w:rsidRPr="00481A94">
        <w:rPr>
          <w:sz w:val="24"/>
          <w:lang w:bidi="en-US"/>
        </w:rPr>
        <w:t xml:space="preserve">The procedure for submitting balancing capacity offers, message standards and data exchange requirements are provided in the document “Submission of Balancing Capacity Offers” published on the Elering website: </w:t>
      </w:r>
      <w:hyperlink r:id="rId8">
        <w:r w:rsidRPr="00481A94">
          <w:rPr>
            <w:color w:val="0000FF"/>
            <w:sz w:val="24"/>
            <w:u w:val="single" w:color="0000FF"/>
            <w:lang w:bidi="en-US"/>
          </w:rPr>
          <w:t>www.elering.ee</w:t>
        </w:r>
        <w:r w:rsidRPr="00481A94">
          <w:rPr>
            <w:lang w:bidi="en-US"/>
          </w:rPr>
          <w:t xml:space="preserve"> </w:t>
        </w:r>
        <w:r w:rsidRPr="00481A94">
          <w:rPr>
            <w:sz w:val="24"/>
            <w:lang w:bidi="en-US"/>
          </w:rPr>
          <w:t>.</w:t>
        </w:r>
      </w:hyperlink>
    </w:p>
    <w:p w:rsidRPr="00481A94" w:rsidR="00E774A7" w:rsidRDefault="00DE5F62" w14:paraId="6551B804" w14:textId="77777777">
      <w:pPr>
        <w:pStyle w:val="ListParagraph"/>
        <w:numPr>
          <w:ilvl w:val="1"/>
          <w:numId w:val="1"/>
        </w:numPr>
        <w:tabs>
          <w:tab w:val="left" w:pos="795"/>
        </w:tabs>
        <w:spacing w:before="1"/>
        <w:ind w:right="115"/>
        <w:jc w:val="both"/>
        <w:rPr>
          <w:sz w:val="24"/>
        </w:rPr>
      </w:pPr>
      <w:r w:rsidRPr="00481A94">
        <w:rPr>
          <w:sz w:val="24"/>
          <w:lang w:bidi="en-US"/>
        </w:rPr>
        <w:t>Balancing capacity offers may be submitted and updated from the opening time until the closing time for aFRR balancing capacity offers.</w:t>
      </w:r>
    </w:p>
    <w:p w:rsidRPr="00481A94" w:rsidR="00E774A7" w:rsidRDefault="00DE5F62" w14:paraId="0B0D581C" w14:textId="77777777">
      <w:pPr>
        <w:pStyle w:val="ListParagraph"/>
        <w:numPr>
          <w:ilvl w:val="1"/>
          <w:numId w:val="1"/>
        </w:numPr>
        <w:tabs>
          <w:tab w:val="left" w:pos="795"/>
        </w:tabs>
        <w:ind w:right="117"/>
        <w:jc w:val="both"/>
        <w:rPr>
          <w:sz w:val="24"/>
        </w:rPr>
      </w:pPr>
      <w:r w:rsidRPr="00481A94">
        <w:rPr>
          <w:sz w:val="24"/>
          <w:lang w:bidi="en-US"/>
        </w:rPr>
        <w:t>The last correct offer submitted after the opening time and before the closing time, and meeting all standard product conditions and data exchange requirements, shall be deemed valid.</w:t>
      </w:r>
    </w:p>
    <w:p w:rsidRPr="00481A94" w:rsidR="00E774A7" w:rsidRDefault="00DE5F62" w14:paraId="19F9D7CE" w14:textId="77777777">
      <w:pPr>
        <w:pStyle w:val="ListParagraph"/>
        <w:numPr>
          <w:ilvl w:val="1"/>
          <w:numId w:val="1"/>
        </w:numPr>
        <w:tabs>
          <w:tab w:val="left" w:pos="795"/>
        </w:tabs>
        <w:ind w:right="116"/>
        <w:jc w:val="both"/>
        <w:rPr>
          <w:sz w:val="24"/>
        </w:rPr>
      </w:pPr>
      <w:r w:rsidRPr="00481A94">
        <w:rPr>
          <w:sz w:val="24"/>
          <w:lang w:bidi="en-US"/>
        </w:rPr>
        <w:t>By the closing time, the System Operator shall forward all received balancing capacity offers to the common Baltic balancing capacity platform.</w:t>
      </w:r>
    </w:p>
    <w:p w:rsidRPr="00481A94" w:rsidR="00E774A7" w:rsidRDefault="00DE5F62" w14:paraId="20D8C511" w14:textId="77777777">
      <w:pPr>
        <w:pStyle w:val="ListParagraph"/>
        <w:numPr>
          <w:ilvl w:val="1"/>
          <w:numId w:val="1"/>
        </w:numPr>
        <w:tabs>
          <w:tab w:val="left" w:pos="795"/>
        </w:tabs>
        <w:ind w:right="113"/>
        <w:jc w:val="both"/>
        <w:rPr>
          <w:sz w:val="24"/>
        </w:rPr>
      </w:pPr>
      <w:r w:rsidRPr="00481A94">
        <w:rPr>
          <w:sz w:val="24"/>
          <w:lang w:bidi="en-US"/>
        </w:rPr>
        <w:t>The Baltic balancing capacity platform shall determine the successful offers in accordance with the Capacity Market Rules and shall forward the accepted offers, along with the clearing prices, to the Connecting System Operator.</w:t>
      </w:r>
    </w:p>
    <w:p w:rsidRPr="00481A94" w:rsidR="00E774A7" w:rsidRDefault="00DE5F62" w14:paraId="370CDEBD" w14:textId="77777777">
      <w:pPr>
        <w:pStyle w:val="ListParagraph"/>
        <w:numPr>
          <w:ilvl w:val="1"/>
          <w:numId w:val="1"/>
        </w:numPr>
        <w:tabs>
          <w:tab w:val="left" w:pos="795"/>
        </w:tabs>
        <w:ind w:right="115"/>
        <w:jc w:val="both"/>
        <w:rPr>
          <w:sz w:val="24"/>
        </w:rPr>
      </w:pPr>
      <w:r w:rsidRPr="00481A94">
        <w:rPr>
          <w:sz w:val="24"/>
          <w:lang w:bidi="en-US"/>
        </w:rPr>
        <w:t>The System Operator shall inform the Balancing Service Provider of the status of their submitted offers — indicating which offers were accepted and in what volume.</w:t>
      </w:r>
    </w:p>
    <w:p w:rsidRPr="00481A94" w:rsidR="00E774A7" w:rsidRDefault="00DE5F62" w14:paraId="03C9D008" w14:textId="77777777">
      <w:pPr>
        <w:pStyle w:val="ListParagraph"/>
        <w:numPr>
          <w:ilvl w:val="1"/>
          <w:numId w:val="1"/>
        </w:numPr>
        <w:tabs>
          <w:tab w:val="left" w:pos="795"/>
        </w:tabs>
        <w:spacing w:before="1"/>
        <w:ind w:right="117"/>
        <w:jc w:val="both"/>
        <w:rPr>
          <w:sz w:val="24"/>
        </w:rPr>
      </w:pPr>
      <w:r w:rsidRPr="00481A94">
        <w:rPr>
          <w:sz w:val="24"/>
          <w:lang w:bidi="en-US"/>
        </w:rPr>
        <w:t xml:space="preserve">Balancing Service Providers whose balancing capacity offers have been accepted are obliged to submit balancing energy </w:t>
      </w:r>
      <w:r w:rsidRPr="00481A94">
        <w:rPr>
          <w:spacing w:val="-2"/>
          <w:sz w:val="24"/>
          <w:lang w:bidi="en-US"/>
        </w:rPr>
        <w:t>offers</w:t>
      </w:r>
      <w:r w:rsidRPr="00481A94">
        <w:rPr>
          <w:sz w:val="24"/>
          <w:lang w:bidi="en-US"/>
        </w:rPr>
        <w:t xml:space="preserve"> corresponding to the accepted capacity by the deadline for the primary energy offer.</w:t>
      </w:r>
    </w:p>
    <w:p w:rsidRPr="00481A94" w:rsidR="00E774A7" w:rsidRDefault="00DE5F62" w14:paraId="703E6E70" w14:textId="77777777">
      <w:pPr>
        <w:pStyle w:val="ListParagraph"/>
        <w:numPr>
          <w:ilvl w:val="1"/>
          <w:numId w:val="1"/>
        </w:numPr>
        <w:tabs>
          <w:tab w:val="left" w:pos="795"/>
        </w:tabs>
        <w:ind w:right="112"/>
        <w:jc w:val="both"/>
        <w:rPr>
          <w:sz w:val="24"/>
        </w:rPr>
      </w:pPr>
      <w:bookmarkStart w:name="_bookmark4" w:id="4"/>
      <w:bookmarkEnd w:id="4"/>
      <w:r w:rsidRPr="00481A94">
        <w:rPr>
          <w:sz w:val="24"/>
          <w:lang w:bidi="en-US"/>
        </w:rPr>
        <w:t>A successful Balancing Service Provider may, in accordance with Article 34 of the EBGL, transfer the obligation to submit a balancing energy offer to another prequalified Balancing Service Provider with the corresponding standard product. The balancing capacity market obligation for the aFRR product may only be transferred within the control area of the System Operator for the duration of the Article 34 exemption.</w:t>
      </w:r>
    </w:p>
    <w:p w:rsidRPr="00481A94" w:rsidR="00E774A7" w:rsidRDefault="00DE5F62" w14:paraId="261FACFC" w14:textId="77777777">
      <w:pPr>
        <w:pStyle w:val="ListParagraph"/>
        <w:numPr>
          <w:ilvl w:val="1"/>
          <w:numId w:val="1"/>
        </w:numPr>
        <w:tabs>
          <w:tab w:val="left" w:pos="795"/>
        </w:tabs>
        <w:ind w:right="113"/>
        <w:jc w:val="both"/>
        <w:rPr>
          <w:sz w:val="24"/>
        </w:rPr>
      </w:pPr>
      <w:bookmarkStart w:name="_bookmark5" w:id="5"/>
      <w:bookmarkEnd w:id="5"/>
      <w:r w:rsidRPr="00481A94">
        <w:rPr>
          <w:sz w:val="24"/>
          <w:lang w:bidi="en-US"/>
        </w:rPr>
        <w:t xml:space="preserve">If the Balancing Service Provider fails to submit the mandatory energy offer for a successful capacity offer, fails to transfer the obligation as per Section </w:t>
      </w:r>
      <w:hyperlink w:history="1" w:anchor="_bookmark4">
        <w:r w:rsidRPr="00481A94">
          <w:rPr>
            <w:sz w:val="24"/>
            <w:lang w:bidi="en-US"/>
          </w:rPr>
          <w:t>4.8</w:t>
        </w:r>
      </w:hyperlink>
      <w:r w:rsidRPr="00481A94">
        <w:rPr>
          <w:sz w:val="24"/>
          <w:lang w:bidi="en-US"/>
        </w:rPr>
        <w:t>, or fails to activate the reserve unit in accordance with the standard product conditions upon order from the System Operator, the capacity market obligation shall be deemed partially or fully unfulfilled.</w:t>
      </w:r>
    </w:p>
    <w:p w:rsidRPr="00481A94" w:rsidR="00E774A7" w:rsidRDefault="00DE5F62" w14:paraId="283C0169" w14:textId="77777777">
      <w:pPr>
        <w:pStyle w:val="ListParagraph"/>
        <w:numPr>
          <w:ilvl w:val="2"/>
          <w:numId w:val="1"/>
        </w:numPr>
        <w:tabs>
          <w:tab w:val="left" w:pos="968"/>
        </w:tabs>
        <w:ind w:right="115"/>
        <w:jc w:val="both"/>
        <w:rPr>
          <w:sz w:val="24"/>
        </w:rPr>
      </w:pPr>
      <w:r w:rsidRPr="00481A94">
        <w:rPr>
          <w:sz w:val="24"/>
          <w:lang w:bidi="en-US"/>
        </w:rPr>
        <w:t>No payment shall be made for the part of the capacity offer for which energy offers were not submitted, the obligation was not transferred, and/or activation was not properly executed;</w:t>
      </w:r>
    </w:p>
    <w:p w:rsidRPr="00481A94" w:rsidR="00E774A7" w:rsidRDefault="00DE5F62" w14:paraId="210EE606" w14:textId="77777777">
      <w:pPr>
        <w:pStyle w:val="ListParagraph"/>
        <w:numPr>
          <w:ilvl w:val="2"/>
          <w:numId w:val="1"/>
        </w:numPr>
        <w:tabs>
          <w:tab w:val="left" w:pos="968"/>
        </w:tabs>
        <w:ind w:right="114"/>
        <w:jc w:val="both"/>
        <w:rPr>
          <w:sz w:val="24"/>
        </w:rPr>
      </w:pPr>
      <w:r w:rsidRPr="00481A94">
        <w:rPr>
          <w:sz w:val="24"/>
          <w:lang w:bidi="en-US"/>
        </w:rPr>
        <w:t xml:space="preserve">The System Operator shall have the right to claim compensation for the breach described in Section </w:t>
      </w:r>
      <w:hyperlink w:history="1" w:anchor="_bookmark5">
        <w:r w:rsidRPr="00481A94">
          <w:rPr>
            <w:sz w:val="24"/>
            <w:lang w:bidi="en-US"/>
          </w:rPr>
          <w:t>4.9</w:t>
        </w:r>
      </w:hyperlink>
      <w:r w:rsidRPr="00481A94">
        <w:rPr>
          <w:sz w:val="24"/>
          <w:lang w:bidi="en-US"/>
        </w:rPr>
        <w:t xml:space="preserve"> and, in the event of repeated or intentional breach, to suspend the prequalified status of the provider’s reserve units;</w:t>
      </w:r>
    </w:p>
    <w:p w:rsidRPr="00481A94" w:rsidR="00E774A7" w:rsidRDefault="00DE5F62" w14:paraId="539B3597" w14:textId="77777777">
      <w:pPr>
        <w:pStyle w:val="ListParagraph"/>
        <w:numPr>
          <w:ilvl w:val="3"/>
          <w:numId w:val="1"/>
        </w:numPr>
        <w:tabs>
          <w:tab w:val="left" w:pos="1393"/>
          <w:tab w:val="left" w:pos="1531"/>
        </w:tabs>
        <w:spacing w:before="1"/>
        <w:ind w:left="1393" w:right="113" w:hanging="711"/>
        <w:jc w:val="both"/>
        <w:rPr>
          <w:sz w:val="24"/>
        </w:rPr>
      </w:pPr>
      <w:r w:rsidRPr="00481A94">
        <w:rPr>
          <w:sz w:val="24"/>
          <w:lang w:bidi="en-US"/>
        </w:rPr>
        <w:t xml:space="preserve">The amount of compensation shall be calculated by multiplying the unfulfilled portion of the capacity market obligation by twice the marginal price of the respective aFRR product in the Estonian bidding zone for the relevant trading </w:t>
      </w:r>
      <w:r w:rsidRPr="00481A94">
        <w:rPr>
          <w:sz w:val="24"/>
          <w:lang w:bidi="en-US"/>
        </w:rPr>
        <w:lastRenderedPageBreak/>
        <w:t xml:space="preserve">period, but not less than the day-ahead </w:t>
      </w:r>
      <w:r w:rsidRPr="00481A94">
        <w:rPr>
          <w:spacing w:val="-2"/>
          <w:sz w:val="24"/>
          <w:lang w:bidi="en-US"/>
        </w:rPr>
        <w:t>price</w:t>
      </w:r>
      <w:r w:rsidRPr="00481A94">
        <w:rPr>
          <w:sz w:val="24"/>
          <w:lang w:bidi="en-US"/>
        </w:rPr>
        <w:t xml:space="preserve"> of the respective trading period on the power exchange.</w:t>
      </w:r>
    </w:p>
    <w:p w:rsidRPr="00481A94" w:rsidR="00E774A7" w:rsidRDefault="00E774A7" w14:paraId="0463D1A7" w14:textId="77777777">
      <w:pPr>
        <w:jc w:val="both"/>
        <w:rPr>
          <w:sz w:val="24"/>
        </w:rPr>
        <w:sectPr w:rsidRPr="00481A94" w:rsidR="00E774A7">
          <w:pgSz w:w="11910" w:h="16840" w:orient="portrait"/>
          <w:pgMar w:top="1320" w:right="1300" w:bottom="640" w:left="1300" w:header="0" w:footer="456" w:gutter="0"/>
          <w:cols w:space="720"/>
        </w:sectPr>
      </w:pPr>
    </w:p>
    <w:p w:rsidRPr="00481A94" w:rsidR="00E774A7" w:rsidRDefault="00DE5F62" w14:paraId="046EA773" w14:textId="77777777">
      <w:pPr>
        <w:pStyle w:val="ListParagraph"/>
        <w:numPr>
          <w:ilvl w:val="1"/>
          <w:numId w:val="1"/>
        </w:numPr>
        <w:tabs>
          <w:tab w:val="left" w:pos="795"/>
        </w:tabs>
        <w:spacing w:before="76"/>
        <w:ind w:right="115"/>
        <w:jc w:val="both"/>
        <w:rPr>
          <w:sz w:val="24"/>
        </w:rPr>
      </w:pPr>
      <w:r w:rsidRPr="00481A94">
        <w:rPr>
          <w:sz w:val="24"/>
          <w:lang w:bidi="en-US"/>
        </w:rPr>
        <w:lastRenderedPageBreak/>
        <w:t xml:space="preserve">In a situation where the System Operator is unable to procure aFRR capacity through the regular market mechanism together with other Baltic system operators due to technical disruptions, and where the operation of the power system requires a heightened level of readiness (for example, in the case of isolated operation (island mode) in Estonia or the Baltic states), the System Operator shall have the right, as an exceptional measure, to apply restrictions on the completeness of offers. When such restrictions are applied, market participants shall be informed at least 24 hours prior to the closing time of the aFRR capacity procurement auction, along with details of the specific </w:t>
      </w:r>
      <w:r w:rsidRPr="00481A94">
        <w:rPr>
          <w:spacing w:val="-2"/>
          <w:sz w:val="24"/>
          <w:lang w:bidi="en-US"/>
        </w:rPr>
        <w:t>restrictions</w:t>
      </w:r>
      <w:r w:rsidRPr="00481A94">
        <w:rPr>
          <w:sz w:val="24"/>
          <w:lang w:bidi="en-US"/>
        </w:rPr>
        <w:t xml:space="preserve"> being applied.</w:t>
      </w:r>
    </w:p>
    <w:p w:rsidRPr="00481A94" w:rsidR="00E774A7" w:rsidRDefault="00E774A7" w14:paraId="241A8799" w14:textId="77777777">
      <w:pPr>
        <w:pStyle w:val="BodyText"/>
        <w:spacing w:before="1"/>
        <w:ind w:left="0" w:firstLine="0"/>
        <w:jc w:val="left"/>
      </w:pPr>
    </w:p>
    <w:p w:rsidRPr="00481A94" w:rsidR="00E774A7" w:rsidRDefault="00DE5F62" w14:paraId="28D0C17D" w14:textId="77777777">
      <w:pPr>
        <w:pStyle w:val="Heading1"/>
        <w:numPr>
          <w:ilvl w:val="0"/>
          <w:numId w:val="1"/>
        </w:numPr>
        <w:tabs>
          <w:tab w:val="left" w:pos="682"/>
        </w:tabs>
        <w:ind w:hanging="566"/>
      </w:pPr>
      <w:bookmarkStart w:name="_Toc197076268" w:id="6"/>
      <w:r w:rsidRPr="00481A94">
        <w:rPr>
          <w:spacing w:val="-2"/>
          <w:lang w:bidi="en-US"/>
        </w:rPr>
        <w:t>Submitting of</w:t>
      </w:r>
      <w:r w:rsidRPr="00481A94">
        <w:rPr>
          <w:lang w:bidi="en-US"/>
        </w:rPr>
        <w:t xml:space="preserve"> Balancing Energy Offers</w:t>
      </w:r>
      <w:bookmarkEnd w:id="6"/>
    </w:p>
    <w:p w:rsidRPr="00481A94" w:rsidR="00E774A7" w:rsidRDefault="00E774A7" w14:paraId="6B9BA822" w14:textId="77777777">
      <w:pPr>
        <w:pStyle w:val="BodyText"/>
        <w:ind w:left="0" w:firstLine="0"/>
        <w:jc w:val="left"/>
        <w:rPr>
          <w:b/>
        </w:rPr>
      </w:pPr>
    </w:p>
    <w:p w:rsidRPr="00481A94" w:rsidR="00E774A7" w:rsidRDefault="00DE5F62" w14:paraId="4D8E0461" w14:textId="77777777">
      <w:pPr>
        <w:pStyle w:val="ListParagraph"/>
        <w:numPr>
          <w:ilvl w:val="1"/>
          <w:numId w:val="1"/>
        </w:numPr>
        <w:tabs>
          <w:tab w:val="left" w:pos="795"/>
        </w:tabs>
        <w:ind w:right="116"/>
        <w:jc w:val="both"/>
        <w:rPr>
          <w:sz w:val="24"/>
        </w:rPr>
      </w:pPr>
      <w:r w:rsidRPr="00481A94">
        <w:rPr>
          <w:sz w:val="24"/>
          <w:lang w:bidi="en-US"/>
        </w:rPr>
        <w:t>The Balancing Service Provider shall submit balancing energy offers to the Connecting System Operator. Offers may be submitted only for previously prequalified assets</w:t>
      </w:r>
      <w:r w:rsidRPr="00481A94">
        <w:rPr>
          <w:spacing w:val="-2"/>
          <w:sz w:val="24"/>
          <w:lang w:bidi="en-US"/>
        </w:rPr>
        <w:t>.</w:t>
      </w:r>
    </w:p>
    <w:p w:rsidRPr="00481A94" w:rsidR="00E774A7" w:rsidRDefault="00DE5F62" w14:paraId="5C4AE9F5" w14:textId="77777777">
      <w:pPr>
        <w:pStyle w:val="ListParagraph"/>
        <w:numPr>
          <w:ilvl w:val="1"/>
          <w:numId w:val="1"/>
        </w:numPr>
        <w:tabs>
          <w:tab w:val="left" w:pos="795"/>
        </w:tabs>
        <w:ind w:right="116"/>
        <w:jc w:val="both"/>
        <w:rPr>
          <w:sz w:val="24"/>
        </w:rPr>
      </w:pPr>
      <w:r w:rsidRPr="00481A94">
        <w:rPr>
          <w:sz w:val="24"/>
          <w:lang w:bidi="en-US"/>
        </w:rPr>
        <w:t>Balancing energy offers may be submitted and updated from the opening time for balancing service until the closing time.</w:t>
      </w:r>
    </w:p>
    <w:p w:rsidRPr="00481A94" w:rsidR="00E774A7" w:rsidRDefault="00DE5F62" w14:paraId="40FE4B59" w14:textId="77777777">
      <w:pPr>
        <w:pStyle w:val="ListParagraph"/>
        <w:numPr>
          <w:ilvl w:val="1"/>
          <w:numId w:val="1"/>
        </w:numPr>
        <w:tabs>
          <w:tab w:val="left" w:pos="795"/>
        </w:tabs>
        <w:spacing w:before="1"/>
        <w:ind w:right="112"/>
        <w:jc w:val="both"/>
        <w:rPr>
          <w:sz w:val="24"/>
        </w:rPr>
      </w:pPr>
      <w:r w:rsidRPr="00481A94">
        <w:rPr>
          <w:sz w:val="24"/>
          <w:lang w:bidi="en-US"/>
        </w:rPr>
        <w:t>The price of balancing energy offers must comply with the pan-European methodology established in accordance with Article 30(1) of Commission Regulation (EU) 2017/2195: “</w:t>
      </w:r>
      <w:r w:rsidRPr="00481A94">
        <w:rPr>
          <w:i/>
          <w:sz w:val="24"/>
          <w:lang w:bidi="en-US"/>
        </w:rPr>
        <w:t>The methodology for pricing balancing energy and cross-zonal capacity used for the exchange of balancing energy or operating the imbalance netting process in accordance with Article 30(1) of Commission Regulation (EU) 2017/2195 establishing a guideline on electricity balancing</w:t>
      </w:r>
      <w:r w:rsidRPr="00481A94">
        <w:rPr>
          <w:sz w:val="24"/>
          <w:lang w:bidi="en-US"/>
        </w:rPr>
        <w:t>”. Balancing energy offers must be submitted in the format and by the means specified by the System Operator before the closing time of the respective standard product. The balancing energy offer submission guide, message standards and data exchange requirements are provided in the guide</w:t>
      </w:r>
    </w:p>
    <w:p w:rsidRPr="00481A94" w:rsidR="00E774A7" w:rsidRDefault="00DE5F62" w14:paraId="769D6C05" w14:textId="77777777">
      <w:pPr>
        <w:ind w:left="795" w:right="112"/>
        <w:jc w:val="both"/>
        <w:rPr>
          <w:sz w:val="24"/>
        </w:rPr>
      </w:pPr>
      <w:r w:rsidRPr="00481A94">
        <w:rPr>
          <w:i/>
          <w:sz w:val="24"/>
          <w:lang w:bidi="en-US"/>
        </w:rPr>
        <w:t>“Submission and Activation of Balancing Energy Offers”</w:t>
      </w:r>
      <w:r w:rsidRPr="00481A94">
        <w:rPr>
          <w:sz w:val="24"/>
          <w:lang w:bidi="en-US"/>
        </w:rPr>
        <w:t xml:space="preserve">, available on the Elering website: </w:t>
      </w:r>
      <w:hyperlink r:id="rId9">
        <w:r w:rsidRPr="00481A94">
          <w:rPr>
            <w:color w:val="0000FF"/>
            <w:sz w:val="24"/>
            <w:u w:val="single" w:color="0000FF"/>
            <w:lang w:bidi="en-US"/>
          </w:rPr>
          <w:t>www.elering.ee</w:t>
        </w:r>
      </w:hyperlink>
    </w:p>
    <w:p w:rsidRPr="00481A94" w:rsidR="00E774A7" w:rsidRDefault="00DE5F62" w14:paraId="10460217" w14:textId="77777777">
      <w:pPr>
        <w:pStyle w:val="ListParagraph"/>
        <w:numPr>
          <w:ilvl w:val="1"/>
          <w:numId w:val="1"/>
        </w:numPr>
        <w:tabs>
          <w:tab w:val="left" w:pos="795"/>
        </w:tabs>
        <w:ind w:right="116"/>
        <w:jc w:val="both"/>
        <w:rPr>
          <w:sz w:val="24"/>
        </w:rPr>
      </w:pPr>
      <w:r w:rsidRPr="00481A94">
        <w:rPr>
          <w:sz w:val="24"/>
          <w:lang w:bidi="en-US"/>
        </w:rPr>
        <w:t>The last correct version of the balancing energy offer submitted after the opening time and before the closing time, and accepted by the System Operator, shall be deemed valid.</w:t>
      </w:r>
    </w:p>
    <w:p w:rsidRPr="00481A94" w:rsidR="00E774A7" w:rsidRDefault="00DE5F62" w14:paraId="68CAF303" w14:textId="77777777">
      <w:pPr>
        <w:pStyle w:val="ListParagraph"/>
        <w:numPr>
          <w:ilvl w:val="1"/>
          <w:numId w:val="1"/>
        </w:numPr>
        <w:tabs>
          <w:tab w:val="left" w:pos="795"/>
        </w:tabs>
        <w:spacing w:before="1"/>
        <w:ind w:right="114"/>
        <w:jc w:val="both"/>
        <w:rPr>
          <w:sz w:val="24"/>
        </w:rPr>
      </w:pPr>
      <w:r w:rsidRPr="00481A94">
        <w:rPr>
          <w:sz w:val="24"/>
          <w:lang w:bidi="en-US"/>
        </w:rPr>
        <w:t>The Balancing Service Provider is fully responsible for the accuracy of the submitted offer. The System Operator is not obligated to verify the offer and shall not be held liable for its content when forwarding it to the pan-European aFRR energy platform PICASSO.</w:t>
      </w:r>
    </w:p>
    <w:p w:rsidRPr="00481A94" w:rsidR="00E774A7" w:rsidRDefault="00DE5F62" w14:paraId="4CD99EF1" w14:textId="77777777">
      <w:pPr>
        <w:pStyle w:val="ListParagraph"/>
        <w:numPr>
          <w:ilvl w:val="1"/>
          <w:numId w:val="1"/>
        </w:numPr>
        <w:tabs>
          <w:tab w:val="left" w:pos="795"/>
        </w:tabs>
        <w:ind w:right="116"/>
        <w:jc w:val="both"/>
        <w:rPr>
          <w:sz w:val="24"/>
        </w:rPr>
      </w:pPr>
      <w:r w:rsidRPr="00481A94">
        <w:rPr>
          <w:sz w:val="24"/>
          <w:lang w:bidi="en-US"/>
        </w:rPr>
        <w:t>The System Operator shall forward the offers submitted by the Balancing Service Provider to the pan-European aFRR platform PICASSO, where the activation optimisation function selects the most optimal offers to meet the balancing energy demand.</w:t>
      </w:r>
    </w:p>
    <w:p w:rsidRPr="00481A94" w:rsidR="00E774A7" w:rsidRDefault="00DE5F62" w14:paraId="53B3701F" w14:textId="77777777">
      <w:pPr>
        <w:pStyle w:val="ListParagraph"/>
        <w:numPr>
          <w:ilvl w:val="1"/>
          <w:numId w:val="1"/>
        </w:numPr>
        <w:tabs>
          <w:tab w:val="left" w:pos="795"/>
        </w:tabs>
        <w:ind w:right="113"/>
        <w:jc w:val="both"/>
        <w:rPr>
          <w:sz w:val="24"/>
        </w:rPr>
      </w:pPr>
      <w:bookmarkStart w:name="_bookmark7" w:id="7"/>
      <w:bookmarkEnd w:id="7"/>
      <w:r w:rsidRPr="00481A94">
        <w:rPr>
          <w:sz w:val="24"/>
          <w:lang w:bidi="en-US"/>
        </w:rPr>
        <w:t>If it becomes evident for technical reasons that the submitted balancing service offer cannot be fully or partially activated and the closing time for balancing energy has already passed, the Balancing Service Provider is obligated to inform the System Operator immediately by sending a notification in the format and via the channel specified by the System Operator. If a balancing energy offer is made unavailable after the closing time for balancing energy offers, the System Operator cannot guarantee that the offer will not participate in the aFRR process.</w:t>
      </w:r>
    </w:p>
    <w:p w:rsidRPr="00481A94" w:rsidR="00E774A7" w:rsidRDefault="00E774A7" w14:paraId="25E136AC" w14:textId="77777777">
      <w:pPr>
        <w:pStyle w:val="BodyText"/>
        <w:ind w:left="0" w:firstLine="0"/>
        <w:jc w:val="left"/>
      </w:pPr>
    </w:p>
    <w:p w:rsidRPr="00481A94" w:rsidR="00E774A7" w:rsidRDefault="00DE5F62" w14:paraId="4BFB1D0E" w14:textId="77777777">
      <w:pPr>
        <w:pStyle w:val="Heading1"/>
        <w:numPr>
          <w:ilvl w:val="0"/>
          <w:numId w:val="1"/>
        </w:numPr>
        <w:tabs>
          <w:tab w:val="left" w:pos="682"/>
        </w:tabs>
        <w:ind w:hanging="566"/>
      </w:pPr>
      <w:bookmarkStart w:name="_Toc197076269" w:id="8"/>
      <w:r w:rsidRPr="00481A94">
        <w:rPr>
          <w:lang w:bidi="en-US"/>
        </w:rPr>
        <w:t xml:space="preserve">Ordering, Use and </w:t>
      </w:r>
      <w:r w:rsidRPr="00481A94">
        <w:rPr>
          <w:spacing w:val="-2"/>
          <w:lang w:bidi="en-US"/>
        </w:rPr>
        <w:t>Termination</w:t>
      </w:r>
      <w:r w:rsidRPr="00481A94">
        <w:rPr>
          <w:lang w:bidi="en-US"/>
        </w:rPr>
        <w:t xml:space="preserve"> of the Balancing Service</w:t>
      </w:r>
      <w:bookmarkEnd w:id="8"/>
    </w:p>
    <w:p w:rsidRPr="00481A94" w:rsidR="00E774A7" w:rsidRDefault="00E774A7" w14:paraId="7B96813E" w14:textId="77777777">
      <w:pPr>
        <w:pStyle w:val="BodyText"/>
        <w:ind w:left="0" w:firstLine="0"/>
        <w:jc w:val="left"/>
        <w:rPr>
          <w:b/>
        </w:rPr>
      </w:pPr>
    </w:p>
    <w:p w:rsidRPr="00481A94" w:rsidR="00E774A7" w:rsidRDefault="00DE5F62" w14:paraId="57E91B96" w14:textId="77777777">
      <w:pPr>
        <w:pStyle w:val="ListParagraph"/>
        <w:numPr>
          <w:ilvl w:val="1"/>
          <w:numId w:val="1"/>
        </w:numPr>
        <w:tabs>
          <w:tab w:val="left" w:pos="795"/>
        </w:tabs>
        <w:ind w:right="119"/>
        <w:jc w:val="both"/>
        <w:rPr>
          <w:sz w:val="24"/>
        </w:rPr>
      </w:pPr>
      <w:r w:rsidRPr="00481A94">
        <w:rPr>
          <w:sz w:val="24"/>
          <w:lang w:bidi="en-US"/>
        </w:rPr>
        <w:t>When activating a balancing energy offer, the Balancing Service Provider’s capacity (load level) shall be adjusted within the trading period;</w:t>
      </w:r>
    </w:p>
    <w:p w:rsidRPr="00481A94" w:rsidR="00E774A7" w:rsidRDefault="00DE5F62" w14:paraId="24D43145" w14:textId="77777777">
      <w:pPr>
        <w:pStyle w:val="ListParagraph"/>
        <w:numPr>
          <w:ilvl w:val="2"/>
          <w:numId w:val="1"/>
        </w:numPr>
        <w:tabs>
          <w:tab w:val="left" w:pos="968"/>
        </w:tabs>
        <w:spacing w:before="1"/>
        <w:ind w:right="115"/>
        <w:jc w:val="both"/>
        <w:rPr>
          <w:sz w:val="24"/>
        </w:rPr>
      </w:pPr>
      <w:r w:rsidRPr="00481A94">
        <w:rPr>
          <w:sz w:val="24"/>
          <w:lang w:bidi="en-US"/>
        </w:rPr>
        <w:t xml:space="preserve">If the Balancing Service Provider increases the load level delivered to the network by a power-generating facility or aggregated generating capacities (upward regulation), the activated offer shall be considered the sale of electricity to the System Operator.  </w:t>
      </w:r>
      <w:r w:rsidRPr="00481A94">
        <w:rPr>
          <w:sz w:val="24"/>
          <w:lang w:bidi="en-US"/>
        </w:rPr>
        <w:lastRenderedPageBreak/>
        <w:t>If the Balancing Service Provider decreases the load level delivered to the network by a power-generating facility or aggregated generating capacities (downward regulation), the activated offer shall be considered the sale of electricity to the Balancing Service Provider;</w:t>
      </w:r>
    </w:p>
    <w:p w:rsidRPr="00481A94" w:rsidR="00E774A7" w:rsidRDefault="00E774A7" w14:paraId="7B72ED7E" w14:textId="77777777">
      <w:pPr>
        <w:jc w:val="both"/>
        <w:rPr>
          <w:sz w:val="24"/>
        </w:rPr>
        <w:sectPr w:rsidRPr="00481A94" w:rsidR="00E774A7">
          <w:pgSz w:w="11910" w:h="16840" w:orient="portrait"/>
          <w:pgMar w:top="1320" w:right="1300" w:bottom="640" w:left="1300" w:header="0" w:footer="456" w:gutter="0"/>
          <w:cols w:space="720"/>
        </w:sectPr>
      </w:pPr>
    </w:p>
    <w:p w:rsidRPr="00481A94" w:rsidR="00E774A7" w:rsidRDefault="00E774A7" w14:paraId="030DFB48" w14:textId="77777777">
      <w:pPr>
        <w:pStyle w:val="BodyText"/>
        <w:spacing w:before="76"/>
        <w:ind w:left="968" w:right="115" w:firstLine="0"/>
      </w:pPr>
    </w:p>
    <w:p w:rsidRPr="00481A94" w:rsidR="00E774A7" w:rsidRDefault="00DE5F62" w14:paraId="4A6D9A0D" w14:textId="77777777">
      <w:pPr>
        <w:pStyle w:val="ListParagraph"/>
        <w:numPr>
          <w:ilvl w:val="2"/>
          <w:numId w:val="1"/>
        </w:numPr>
        <w:tabs>
          <w:tab w:val="left" w:pos="968"/>
        </w:tabs>
        <w:spacing w:before="1"/>
        <w:ind w:right="112"/>
        <w:jc w:val="both"/>
        <w:rPr>
          <w:sz w:val="24"/>
        </w:rPr>
      </w:pPr>
      <w:r w:rsidRPr="00481A94">
        <w:rPr>
          <w:sz w:val="24"/>
          <w:lang w:bidi="en-US"/>
        </w:rPr>
        <w:t>If the Balancing Service Provider increases the load level drawn from the network by aggregated consumption capacities (downward regulation), the activated offer shall be considered the sale of electricity to the Balancing Service Provider. If the Balancing Service Provider decreases the load level drawn from the network by aggregated consumption capacities (upward regulation), the activated offer shall be considered the sale of electricity to the System Operator.</w:t>
      </w:r>
    </w:p>
    <w:p w:rsidRPr="00481A94" w:rsidR="00E774A7" w:rsidRDefault="00DE5F62" w14:paraId="69BBB499" w14:textId="77777777">
      <w:pPr>
        <w:pStyle w:val="ListParagraph"/>
        <w:numPr>
          <w:ilvl w:val="1"/>
          <w:numId w:val="1"/>
        </w:numPr>
        <w:tabs>
          <w:tab w:val="left" w:pos="795"/>
        </w:tabs>
        <w:ind w:right="115"/>
        <w:jc w:val="both"/>
        <w:rPr>
          <w:sz w:val="24"/>
        </w:rPr>
      </w:pPr>
      <w:r w:rsidRPr="00481A94">
        <w:rPr>
          <w:sz w:val="24"/>
          <w:lang w:bidi="en-US"/>
        </w:rPr>
        <w:t>The System Operator may place an order for a trading period during the validity period of the offer, taking into account the offer and the technical conditions of the standard product. To activate the balancing offer, the System Operator shall issue a balancing service order to the Balancing Service Provider in the form of a SCADA activation signal.</w:t>
      </w:r>
    </w:p>
    <w:p w:rsidRPr="00481A94" w:rsidR="00E774A7" w:rsidRDefault="00DE5F62" w14:paraId="610C3430" w14:textId="77777777">
      <w:pPr>
        <w:pStyle w:val="ListParagraph"/>
        <w:numPr>
          <w:ilvl w:val="1"/>
          <w:numId w:val="1"/>
        </w:numPr>
        <w:tabs>
          <w:tab w:val="left" w:pos="795"/>
        </w:tabs>
        <w:ind w:right="114"/>
        <w:jc w:val="both"/>
        <w:rPr>
          <w:sz w:val="24"/>
        </w:rPr>
      </w:pPr>
      <w:r w:rsidRPr="00481A94">
        <w:rPr>
          <w:sz w:val="24"/>
          <w:lang w:bidi="en-US"/>
        </w:rPr>
        <w:t>The System Operator places balancing service orders based on the local list of offers. The volume of activated offers is determined as a result of the interaction between local demand and the correction signal received from the PICASSO balancing platform.</w:t>
      </w:r>
    </w:p>
    <w:p w:rsidRPr="00481A94" w:rsidR="00E774A7" w:rsidRDefault="00DE5F62" w14:paraId="2C3AF0C7" w14:textId="77777777">
      <w:pPr>
        <w:pStyle w:val="ListParagraph"/>
        <w:numPr>
          <w:ilvl w:val="1"/>
          <w:numId w:val="1"/>
        </w:numPr>
        <w:tabs>
          <w:tab w:val="left" w:pos="795"/>
        </w:tabs>
        <w:spacing w:before="1"/>
        <w:ind w:right="117"/>
        <w:jc w:val="both"/>
        <w:rPr>
          <w:sz w:val="24"/>
        </w:rPr>
      </w:pPr>
      <w:r w:rsidRPr="00481A94">
        <w:rPr>
          <w:sz w:val="24"/>
          <w:lang w:bidi="en-US"/>
        </w:rPr>
        <w:t>The balancing service shall be activated to the extent ordered by the System Operator and in compliance with the technical conditions of the standard product.</w:t>
      </w:r>
    </w:p>
    <w:p w:rsidRPr="00481A94" w:rsidR="00E774A7" w:rsidRDefault="00DE5F62" w14:paraId="6C33C5E0" w14:textId="77777777">
      <w:pPr>
        <w:pStyle w:val="ListParagraph"/>
        <w:numPr>
          <w:ilvl w:val="1"/>
          <w:numId w:val="1"/>
        </w:numPr>
        <w:tabs>
          <w:tab w:val="left" w:pos="795"/>
        </w:tabs>
        <w:ind w:hanging="679"/>
        <w:jc w:val="both"/>
        <w:rPr>
          <w:sz w:val="24"/>
        </w:rPr>
      </w:pPr>
      <w:r w:rsidRPr="00481A94">
        <w:rPr>
          <w:sz w:val="24"/>
          <w:lang w:bidi="en-US"/>
        </w:rPr>
        <w:t xml:space="preserve">An offer shall be considered activated according to the </w:t>
      </w:r>
      <w:r w:rsidRPr="00481A94">
        <w:rPr>
          <w:spacing w:val="-2"/>
          <w:sz w:val="24"/>
          <w:lang w:bidi="en-US"/>
        </w:rPr>
        <w:t>activation signal</w:t>
      </w:r>
      <w:r w:rsidRPr="00481A94">
        <w:rPr>
          <w:sz w:val="24"/>
          <w:lang w:bidi="en-US"/>
        </w:rPr>
        <w:t xml:space="preserve"> issued by the System Operator.</w:t>
      </w:r>
    </w:p>
    <w:p w:rsidRPr="00481A94" w:rsidR="00E774A7" w:rsidRDefault="00DE5F62" w14:paraId="193B1C70" w14:textId="77777777">
      <w:pPr>
        <w:pStyle w:val="ListParagraph"/>
        <w:numPr>
          <w:ilvl w:val="1"/>
          <w:numId w:val="1"/>
        </w:numPr>
        <w:tabs>
          <w:tab w:val="left" w:pos="795"/>
        </w:tabs>
        <w:ind w:right="114"/>
        <w:jc w:val="both"/>
        <w:rPr>
          <w:sz w:val="24"/>
        </w:rPr>
      </w:pPr>
      <w:r w:rsidRPr="00481A94">
        <w:rPr>
          <w:sz w:val="24"/>
          <w:lang w:bidi="en-US"/>
        </w:rPr>
        <w:t xml:space="preserve">If a reserve unit or reserve group provides several balancing services in parallel, the technical requirements of all offered products, in particular regarding the ramping period, must be </w:t>
      </w:r>
      <w:r w:rsidRPr="00481A94">
        <w:rPr>
          <w:spacing w:val="-2"/>
          <w:sz w:val="24"/>
          <w:lang w:bidi="en-US"/>
        </w:rPr>
        <w:t>fulfilled.</w:t>
      </w:r>
    </w:p>
    <w:p w:rsidRPr="00481A94" w:rsidR="00E774A7" w:rsidRDefault="00DE5F62" w14:paraId="0BBEA41F" w14:textId="77777777">
      <w:pPr>
        <w:pStyle w:val="ListParagraph"/>
        <w:numPr>
          <w:ilvl w:val="1"/>
          <w:numId w:val="1"/>
        </w:numPr>
        <w:tabs>
          <w:tab w:val="left" w:pos="795"/>
        </w:tabs>
        <w:ind w:right="116"/>
        <w:jc w:val="both"/>
        <w:rPr>
          <w:sz w:val="24"/>
        </w:rPr>
      </w:pPr>
      <w:r w:rsidRPr="00481A94">
        <w:rPr>
          <w:sz w:val="24"/>
          <w:lang w:bidi="en-US"/>
        </w:rPr>
        <w:t>Signals transmitted to the System Operator’s SCADA must distinguish between all balancing services offered.</w:t>
      </w:r>
    </w:p>
    <w:p w:rsidRPr="00481A94" w:rsidR="00E774A7" w:rsidRDefault="00DE5F62" w14:paraId="2BAAEBEA" w14:textId="77777777">
      <w:pPr>
        <w:pStyle w:val="ListParagraph"/>
        <w:numPr>
          <w:ilvl w:val="1"/>
          <w:numId w:val="1"/>
        </w:numPr>
        <w:tabs>
          <w:tab w:val="left" w:pos="795"/>
        </w:tabs>
        <w:ind w:right="117"/>
        <w:jc w:val="both"/>
        <w:rPr>
          <w:sz w:val="24"/>
        </w:rPr>
      </w:pPr>
      <w:r w:rsidRPr="00481A94">
        <w:rPr>
          <w:sz w:val="24"/>
          <w:lang w:bidi="en-US"/>
        </w:rPr>
        <w:t>The respective balancing order shall be considered terminated when the System Operator changes the activation signal to zero. An offer may be activated multiple times within a single trading period.</w:t>
      </w:r>
    </w:p>
    <w:p w:rsidRPr="00481A94" w:rsidR="00E774A7" w:rsidRDefault="00E774A7" w14:paraId="572941C1" w14:textId="77777777">
      <w:pPr>
        <w:pStyle w:val="BodyText"/>
        <w:ind w:left="0" w:firstLine="0"/>
        <w:jc w:val="left"/>
      </w:pPr>
    </w:p>
    <w:p w:rsidRPr="00481A94" w:rsidR="00E774A7" w:rsidRDefault="00E774A7" w14:paraId="64CC6978" w14:textId="77777777">
      <w:pPr>
        <w:pStyle w:val="BodyText"/>
        <w:ind w:left="0" w:firstLine="0"/>
        <w:jc w:val="left"/>
      </w:pPr>
    </w:p>
    <w:p w:rsidRPr="00481A94" w:rsidR="00E774A7" w:rsidRDefault="00DE5F62" w14:paraId="10F71110" w14:textId="77777777">
      <w:pPr>
        <w:pStyle w:val="Heading1"/>
        <w:numPr>
          <w:ilvl w:val="0"/>
          <w:numId w:val="1"/>
        </w:numPr>
        <w:tabs>
          <w:tab w:val="left" w:pos="682"/>
        </w:tabs>
        <w:ind w:hanging="566"/>
        <w:jc w:val="both"/>
      </w:pPr>
      <w:bookmarkStart w:name="_Toc197076270" w:id="9"/>
      <w:r w:rsidRPr="00481A94">
        <w:rPr>
          <w:lang w:bidi="en-US"/>
        </w:rPr>
        <w:t xml:space="preserve">Technology-Specific </w:t>
      </w:r>
      <w:r w:rsidRPr="00481A94">
        <w:rPr>
          <w:spacing w:val="-2"/>
          <w:lang w:bidi="en-US"/>
        </w:rPr>
        <w:t>Particularities</w:t>
      </w:r>
      <w:r w:rsidRPr="00481A94">
        <w:rPr>
          <w:lang w:bidi="en-US"/>
        </w:rPr>
        <w:t xml:space="preserve"> of the Balancing Service</w:t>
      </w:r>
      <w:bookmarkEnd w:id="9"/>
    </w:p>
    <w:p w:rsidRPr="00481A94" w:rsidR="00E774A7" w:rsidRDefault="00E774A7" w14:paraId="71565EF0" w14:textId="77777777">
      <w:pPr>
        <w:pStyle w:val="BodyText"/>
        <w:ind w:left="0" w:firstLine="0"/>
        <w:jc w:val="left"/>
        <w:rPr>
          <w:b/>
        </w:rPr>
      </w:pPr>
    </w:p>
    <w:p w:rsidRPr="00481A94" w:rsidR="00E774A7" w:rsidRDefault="00DE5F62" w14:paraId="19850C02" w14:textId="77777777">
      <w:pPr>
        <w:pStyle w:val="ListParagraph"/>
        <w:numPr>
          <w:ilvl w:val="1"/>
          <w:numId w:val="1"/>
        </w:numPr>
        <w:tabs>
          <w:tab w:val="left" w:pos="795"/>
        </w:tabs>
        <w:spacing w:before="1"/>
        <w:ind w:right="114"/>
        <w:jc w:val="both"/>
        <w:rPr>
          <w:sz w:val="24"/>
        </w:rPr>
      </w:pPr>
      <w:r w:rsidRPr="00481A94">
        <w:rPr>
          <w:sz w:val="24"/>
          <w:lang w:bidi="en-US"/>
        </w:rPr>
        <w:t>If the Balancing Service Provider is an aggregator, including an independent aggregator or a demand facility, the following technology-specific conditions apply to the provision of the balancing service:</w:t>
      </w:r>
    </w:p>
    <w:p w:rsidRPr="00481A94" w:rsidR="00E774A7" w:rsidRDefault="00DE5F62" w14:paraId="202A7515" w14:textId="77777777">
      <w:pPr>
        <w:pStyle w:val="ListParagraph"/>
        <w:numPr>
          <w:ilvl w:val="2"/>
          <w:numId w:val="1"/>
        </w:numPr>
        <w:tabs>
          <w:tab w:val="left" w:pos="968"/>
        </w:tabs>
        <w:ind w:right="118"/>
        <w:jc w:val="both"/>
        <w:rPr>
          <w:sz w:val="24"/>
        </w:rPr>
      </w:pPr>
      <w:r w:rsidRPr="00481A94">
        <w:rPr>
          <w:sz w:val="24"/>
          <w:lang w:bidi="en-US"/>
        </w:rPr>
        <w:t>The Balancing Service Provider shall additionally submit the following data to the System Operator, in the format and via the channel specified by the System Operator:</w:t>
      </w:r>
    </w:p>
    <w:p w:rsidRPr="00481A94" w:rsidR="00E774A7" w:rsidRDefault="00DE5F62" w14:paraId="17DA5DA1" w14:textId="77777777">
      <w:pPr>
        <w:pStyle w:val="ListParagraph"/>
        <w:numPr>
          <w:ilvl w:val="3"/>
          <w:numId w:val="1"/>
        </w:numPr>
        <w:tabs>
          <w:tab w:val="left" w:pos="1393"/>
          <w:tab w:val="left" w:pos="1531"/>
        </w:tabs>
        <w:ind w:left="1393" w:right="115" w:hanging="711"/>
        <w:jc w:val="both"/>
        <w:rPr>
          <w:sz w:val="24"/>
        </w:rPr>
      </w:pPr>
      <w:r w:rsidRPr="00481A94">
        <w:rPr>
          <w:sz w:val="24"/>
          <w:lang w:bidi="en-US"/>
        </w:rPr>
        <w:t>The aggregate active output power of the control points managed by the Balancing Service Provider at a moment close to real time.</w:t>
      </w:r>
    </w:p>
    <w:p w:rsidRPr="00481A94" w:rsidR="00E774A7" w:rsidRDefault="00DE5F62" w14:paraId="2F46A967" w14:textId="77777777">
      <w:pPr>
        <w:pStyle w:val="ListParagraph"/>
        <w:numPr>
          <w:ilvl w:val="3"/>
          <w:numId w:val="1"/>
        </w:numPr>
        <w:tabs>
          <w:tab w:val="left" w:pos="1393"/>
          <w:tab w:val="left" w:pos="1531"/>
        </w:tabs>
        <w:ind w:left="1393" w:right="115" w:hanging="711"/>
        <w:jc w:val="both"/>
        <w:rPr>
          <w:sz w:val="24"/>
        </w:rPr>
      </w:pPr>
      <w:r w:rsidRPr="00481A94">
        <w:rPr>
          <w:sz w:val="24"/>
          <w:lang w:bidi="en-US"/>
        </w:rPr>
        <w:t>The forecast of the amount of output power resulting from the activation of the balancing service by the Balancing Service Provider. This forecast shall be based on the characteristics and rotation of the controlled balancing capacities;</w:t>
      </w:r>
    </w:p>
    <w:p w:rsidRPr="00481A94" w:rsidR="00E774A7" w:rsidRDefault="00DE5F62" w14:paraId="44DDABEF" w14:textId="77777777">
      <w:pPr>
        <w:pStyle w:val="ListParagraph"/>
        <w:numPr>
          <w:ilvl w:val="3"/>
          <w:numId w:val="1"/>
        </w:numPr>
        <w:tabs>
          <w:tab w:val="left" w:pos="1393"/>
          <w:tab w:val="left" w:pos="1531"/>
        </w:tabs>
        <w:ind w:left="1393" w:right="113" w:hanging="711"/>
        <w:jc w:val="both"/>
        <w:rPr>
          <w:sz w:val="24"/>
        </w:rPr>
      </w:pPr>
      <w:r w:rsidRPr="00481A94">
        <w:rPr>
          <w:sz w:val="24"/>
          <w:lang w:bidi="en-US"/>
        </w:rPr>
        <w:t>The maximum possible quantity of balancing service output power that can be activated by the Balancing Service Provider at a moment close to real time.</w:t>
      </w:r>
    </w:p>
    <w:p w:rsidRPr="00481A94" w:rsidR="00E774A7" w:rsidRDefault="00DE5F62" w14:paraId="0719CFA9" w14:textId="77777777">
      <w:pPr>
        <w:pStyle w:val="ListParagraph"/>
        <w:numPr>
          <w:ilvl w:val="2"/>
          <w:numId w:val="1"/>
        </w:numPr>
        <w:tabs>
          <w:tab w:val="left" w:pos="968"/>
        </w:tabs>
        <w:ind w:right="116"/>
        <w:jc w:val="both"/>
        <w:rPr>
          <w:sz w:val="24"/>
        </w:rPr>
      </w:pPr>
      <w:r w:rsidRPr="00481A94">
        <w:rPr>
          <w:sz w:val="24"/>
          <w:lang w:bidi="en-US"/>
        </w:rPr>
        <w:t>The Balancing Service Provider is obligated to ensure that it holds the necessary consents from all its controllable customers for the performance of the agreement.</w:t>
      </w:r>
    </w:p>
    <w:p w:rsidRPr="00481A94" w:rsidR="00E774A7" w:rsidRDefault="00DE5F62" w14:paraId="04404616" w14:textId="77777777">
      <w:pPr>
        <w:pStyle w:val="ListParagraph"/>
        <w:numPr>
          <w:ilvl w:val="1"/>
          <w:numId w:val="1"/>
        </w:numPr>
        <w:tabs>
          <w:tab w:val="left" w:pos="795"/>
        </w:tabs>
        <w:ind w:right="114"/>
        <w:jc w:val="both"/>
        <w:rPr>
          <w:sz w:val="24"/>
        </w:rPr>
      </w:pPr>
      <w:r w:rsidRPr="00481A94">
        <w:rPr>
          <w:sz w:val="24"/>
          <w:lang w:bidi="en-US"/>
        </w:rPr>
        <w:t>If the Balancing Service Provider uses a reserve unit or reserve group based on a Limited Energy Resource (LER), the special requirements set out in the prequalification documentation shall apply to that unit or group. These requirements apply both during prequalification and when providing the balancing service.</w:t>
      </w:r>
    </w:p>
    <w:p w:rsidRPr="00481A94" w:rsidR="00E774A7" w:rsidRDefault="00E774A7" w14:paraId="30CD7C9B" w14:textId="77777777">
      <w:pPr>
        <w:jc w:val="both"/>
        <w:rPr>
          <w:sz w:val="24"/>
        </w:rPr>
        <w:sectPr w:rsidRPr="00481A94" w:rsidR="00E774A7">
          <w:pgSz w:w="11910" w:h="16840" w:orient="portrait"/>
          <w:pgMar w:top="1320" w:right="1300" w:bottom="640" w:left="1300" w:header="0" w:footer="456" w:gutter="0"/>
          <w:cols w:space="720"/>
        </w:sectPr>
      </w:pPr>
    </w:p>
    <w:p w:rsidRPr="00481A94" w:rsidR="00E774A7" w:rsidRDefault="00DE5F62" w14:paraId="56320C24" w14:textId="77777777">
      <w:pPr>
        <w:pStyle w:val="ListParagraph"/>
        <w:numPr>
          <w:ilvl w:val="1"/>
          <w:numId w:val="1"/>
        </w:numPr>
        <w:tabs>
          <w:tab w:val="left" w:pos="795"/>
        </w:tabs>
        <w:spacing w:before="76"/>
        <w:ind w:right="111"/>
        <w:jc w:val="both"/>
        <w:rPr>
          <w:sz w:val="24"/>
        </w:rPr>
      </w:pPr>
      <w:r w:rsidRPr="00481A94">
        <w:rPr>
          <w:sz w:val="24"/>
          <w:lang w:bidi="en-US"/>
        </w:rPr>
        <w:lastRenderedPageBreak/>
        <w:t>If the Balancing Service Provider uses a reserve unit or group whose output power depends on external conditions and which, as a result, cannot reliably maintain a stable setpoint per trading period (typically wind or solar-based reserve units), the following technology-specific conditions apply to the technical conditions for the provision of the balancing service:</w:t>
      </w:r>
    </w:p>
    <w:p w:rsidRPr="00481A94" w:rsidR="00E774A7" w:rsidRDefault="00DE5F62" w14:paraId="5908A601" w14:textId="77777777">
      <w:pPr>
        <w:pStyle w:val="ListParagraph"/>
        <w:numPr>
          <w:ilvl w:val="2"/>
          <w:numId w:val="1"/>
        </w:numPr>
        <w:tabs>
          <w:tab w:val="left" w:pos="968"/>
        </w:tabs>
        <w:spacing w:before="1"/>
        <w:ind w:right="111"/>
        <w:jc w:val="both"/>
        <w:rPr>
          <w:sz w:val="24"/>
        </w:rPr>
      </w:pPr>
      <w:r w:rsidRPr="00481A94">
        <w:rPr>
          <w:sz w:val="24"/>
          <w:lang w:bidi="en-US"/>
        </w:rPr>
        <w:t>Regulation shall be carried out in relation to a short-term output power forecast that is continuously transmitted to the System Operator’s SCADA.</w:t>
      </w:r>
    </w:p>
    <w:p w:rsidRPr="00481A94" w:rsidR="00E774A7" w:rsidRDefault="00DE5F62" w14:paraId="3BD567E7" w14:textId="77777777">
      <w:pPr>
        <w:pStyle w:val="ListParagraph"/>
        <w:numPr>
          <w:ilvl w:val="2"/>
          <w:numId w:val="1"/>
        </w:numPr>
        <w:tabs>
          <w:tab w:val="left" w:pos="968"/>
        </w:tabs>
        <w:ind w:right="111"/>
        <w:jc w:val="both"/>
        <w:rPr>
          <w:sz w:val="24"/>
        </w:rPr>
      </w:pPr>
      <w:r w:rsidRPr="00481A94">
        <w:rPr>
          <w:sz w:val="24"/>
          <w:lang w:bidi="en-US"/>
        </w:rPr>
        <w:t>The Balancing Service Provider shall maintain the output power of the reserve unit or group as stably as technically feasible at the defined adjusted setpoint;</w:t>
      </w:r>
    </w:p>
    <w:p w:rsidRPr="00481A94" w:rsidR="00E774A7" w:rsidRDefault="00DE5F62" w14:paraId="04FFE635" w14:textId="77777777">
      <w:pPr>
        <w:pStyle w:val="ListParagraph"/>
        <w:numPr>
          <w:ilvl w:val="2"/>
          <w:numId w:val="1"/>
        </w:numPr>
        <w:tabs>
          <w:tab w:val="left" w:pos="968"/>
        </w:tabs>
        <w:ind w:right="111"/>
        <w:jc w:val="both"/>
        <w:rPr>
          <w:sz w:val="24"/>
        </w:rPr>
      </w:pPr>
      <w:r w:rsidRPr="00481A94">
        <w:rPr>
          <w:sz w:val="24"/>
          <w:lang w:bidi="en-US"/>
        </w:rPr>
        <w:t>In order to participate in the balancing capacity market, the Balancing Service Provider must agree with the System Operator on a strategy that ensures the fulfilment of the capacity market obligation.</w:t>
      </w:r>
    </w:p>
    <w:p w:rsidRPr="00481A94" w:rsidR="00E774A7" w:rsidRDefault="00E774A7" w14:paraId="682F3833" w14:textId="77777777">
      <w:pPr>
        <w:pStyle w:val="BodyText"/>
        <w:ind w:left="0" w:firstLine="0"/>
        <w:jc w:val="left"/>
      </w:pPr>
    </w:p>
    <w:p w:rsidRPr="00481A94" w:rsidR="00E774A7" w:rsidRDefault="00DE5F62" w14:paraId="768BD829" w14:textId="77777777">
      <w:pPr>
        <w:pStyle w:val="Heading1"/>
        <w:numPr>
          <w:ilvl w:val="0"/>
          <w:numId w:val="1"/>
        </w:numPr>
        <w:tabs>
          <w:tab w:val="left" w:pos="682"/>
        </w:tabs>
        <w:ind w:hanging="566"/>
      </w:pPr>
      <w:bookmarkStart w:name="_Toc197076271" w:id="10"/>
      <w:r w:rsidRPr="00481A94">
        <w:rPr>
          <w:lang w:bidi="en-US"/>
        </w:rPr>
        <w:t xml:space="preserve">General requirements </w:t>
      </w:r>
      <w:r w:rsidRPr="00481A94">
        <w:rPr>
          <w:spacing w:val="-2"/>
          <w:lang w:bidi="en-US"/>
        </w:rPr>
        <w:t>for Data Exchange</w:t>
      </w:r>
      <w:bookmarkEnd w:id="10"/>
    </w:p>
    <w:p w:rsidRPr="00481A94" w:rsidR="00E774A7" w:rsidRDefault="00E774A7" w14:paraId="6DF0A2B7" w14:textId="77777777">
      <w:pPr>
        <w:pStyle w:val="BodyText"/>
        <w:spacing w:before="1"/>
        <w:ind w:left="0" w:firstLine="0"/>
        <w:jc w:val="left"/>
        <w:rPr>
          <w:b/>
        </w:rPr>
      </w:pPr>
    </w:p>
    <w:p w:rsidRPr="00481A94" w:rsidR="00E774A7" w:rsidRDefault="00DE5F62" w14:paraId="439F3034" w14:textId="77777777">
      <w:pPr>
        <w:pStyle w:val="ListParagraph"/>
        <w:numPr>
          <w:ilvl w:val="1"/>
          <w:numId w:val="1"/>
        </w:numPr>
        <w:tabs>
          <w:tab w:val="left" w:pos="795"/>
        </w:tabs>
        <w:ind w:right="117"/>
        <w:jc w:val="both"/>
        <w:rPr>
          <w:sz w:val="24"/>
        </w:rPr>
      </w:pPr>
      <w:r w:rsidRPr="00481A94">
        <w:rPr>
          <w:sz w:val="24"/>
          <w:lang w:bidi="en-US"/>
        </w:rPr>
        <w:t>To offer automatically activated frequency restoration reserve, both non-real-time and real-time data exchange must be established.</w:t>
      </w:r>
    </w:p>
    <w:p w:rsidRPr="00481A94" w:rsidR="00E774A7" w:rsidRDefault="00DE5F62" w14:paraId="4D09201E" w14:textId="77777777">
      <w:pPr>
        <w:pStyle w:val="ListParagraph"/>
        <w:numPr>
          <w:ilvl w:val="1"/>
          <w:numId w:val="1"/>
        </w:numPr>
        <w:tabs>
          <w:tab w:val="left" w:pos="795"/>
        </w:tabs>
        <w:ind w:right="115"/>
        <w:jc w:val="both"/>
        <w:rPr>
          <w:sz w:val="24"/>
        </w:rPr>
      </w:pPr>
      <w:r w:rsidRPr="00481A94">
        <w:rPr>
          <w:sz w:val="24"/>
          <w:lang w:bidi="en-US"/>
        </w:rPr>
        <w:t>All data exchange, whether in real time or non-real time, shall take place in the format and by the means defined by the System Operator. Non-real-time data exchange with the System Operator’s balance management system shall use XML messages.</w:t>
      </w:r>
    </w:p>
    <w:p w:rsidRPr="00481A94" w:rsidR="00E774A7" w:rsidRDefault="00DE5F62" w14:paraId="722207F2" w14:textId="77777777">
      <w:pPr>
        <w:pStyle w:val="ListParagraph"/>
        <w:numPr>
          <w:ilvl w:val="2"/>
          <w:numId w:val="1"/>
        </w:numPr>
        <w:tabs>
          <w:tab w:val="left" w:pos="968"/>
        </w:tabs>
        <w:ind w:right="111"/>
        <w:rPr>
          <w:sz w:val="24"/>
        </w:rPr>
      </w:pPr>
      <w:r w:rsidRPr="00481A94">
        <w:rPr>
          <w:sz w:val="24"/>
          <w:lang w:bidi="en-US"/>
        </w:rPr>
        <w:t xml:space="preserve">Data exchange with the balance management system shall be carried out via a web interface or the ECP/EDX </w:t>
      </w:r>
      <w:r w:rsidRPr="00481A94">
        <w:rPr>
          <w:spacing w:val="-2"/>
          <w:sz w:val="24"/>
          <w:lang w:bidi="en-US"/>
        </w:rPr>
        <w:t>platform;</w:t>
      </w:r>
    </w:p>
    <w:p w:rsidRPr="00481A94" w:rsidR="00E774A7" w:rsidRDefault="00DE5F62" w14:paraId="1E97C215" w14:textId="77777777">
      <w:pPr>
        <w:pStyle w:val="ListParagraph"/>
        <w:numPr>
          <w:ilvl w:val="2"/>
          <w:numId w:val="1"/>
        </w:numPr>
        <w:tabs>
          <w:tab w:val="left" w:pos="968"/>
        </w:tabs>
        <w:ind w:right="116"/>
        <w:rPr>
          <w:sz w:val="24"/>
        </w:rPr>
      </w:pPr>
      <w:r w:rsidRPr="00481A94">
        <w:rPr>
          <w:sz w:val="24"/>
          <w:lang w:bidi="en-US"/>
        </w:rPr>
        <w:t xml:space="preserve">The requirements and structure of the messages are available on the System Operator’s </w:t>
      </w:r>
      <w:r w:rsidRPr="00481A94">
        <w:rPr>
          <w:spacing w:val="-2"/>
          <w:sz w:val="24"/>
          <w:lang w:bidi="en-US"/>
        </w:rPr>
        <w:t>website.</w:t>
      </w:r>
    </w:p>
    <w:p w:rsidRPr="00481A94" w:rsidR="00E774A7" w:rsidRDefault="00DE5F62" w14:paraId="3EFD5A26" w14:textId="77777777">
      <w:pPr>
        <w:pStyle w:val="ListParagraph"/>
        <w:numPr>
          <w:ilvl w:val="1"/>
          <w:numId w:val="1"/>
        </w:numPr>
        <w:tabs>
          <w:tab w:val="left" w:pos="795"/>
        </w:tabs>
        <w:ind w:hanging="679"/>
        <w:rPr>
          <w:sz w:val="24"/>
        </w:rPr>
      </w:pPr>
      <w:r w:rsidRPr="00481A94">
        <w:rPr>
          <w:sz w:val="24"/>
          <w:lang w:bidi="en-US"/>
        </w:rPr>
        <w:t xml:space="preserve">Real-time data exchange shall take place via the System Operator’s </w:t>
      </w:r>
      <w:r w:rsidRPr="00481A94">
        <w:rPr>
          <w:spacing w:val="-2"/>
          <w:sz w:val="24"/>
          <w:lang w:bidi="en-US"/>
        </w:rPr>
        <w:t>SCADA</w:t>
      </w:r>
    </w:p>
    <w:p w:rsidRPr="00481A94" w:rsidR="00E774A7" w:rsidRDefault="00DE5F62" w14:paraId="18783854" w14:textId="77777777">
      <w:pPr>
        <w:pStyle w:val="ListParagraph"/>
        <w:numPr>
          <w:ilvl w:val="1"/>
          <w:numId w:val="1"/>
        </w:numPr>
        <w:tabs>
          <w:tab w:val="left" w:pos="795"/>
        </w:tabs>
        <w:ind w:right="116"/>
        <w:rPr>
          <w:sz w:val="24"/>
        </w:rPr>
      </w:pPr>
      <w:r w:rsidRPr="00481A94">
        <w:rPr>
          <w:sz w:val="24"/>
          <w:lang w:bidi="en-US"/>
        </w:rPr>
        <w:t>At a minimum, the Balancing Service Provider is required to transmit the following data points in real time at a resolution of at least 10 seconds:</w:t>
      </w:r>
    </w:p>
    <w:p w:rsidRPr="00481A94" w:rsidR="00E774A7" w:rsidRDefault="00DE5F62" w14:paraId="57159DCB" w14:textId="77777777">
      <w:pPr>
        <w:pStyle w:val="ListParagraph"/>
        <w:numPr>
          <w:ilvl w:val="2"/>
          <w:numId w:val="1"/>
        </w:numPr>
        <w:tabs>
          <w:tab w:val="left" w:pos="968"/>
        </w:tabs>
        <w:rPr>
          <w:sz w:val="24"/>
        </w:rPr>
      </w:pPr>
      <w:r w:rsidRPr="00481A94">
        <w:rPr>
          <w:sz w:val="24"/>
          <w:lang w:bidi="en-US"/>
        </w:rPr>
        <w:t xml:space="preserve">the </w:t>
      </w:r>
      <w:r w:rsidRPr="00481A94">
        <w:rPr>
          <w:spacing w:val="-2"/>
          <w:sz w:val="24"/>
          <w:lang w:bidi="en-US"/>
        </w:rPr>
        <w:t>net output power of</w:t>
      </w:r>
      <w:r w:rsidRPr="00481A94">
        <w:rPr>
          <w:sz w:val="24"/>
          <w:lang w:bidi="en-US"/>
        </w:rPr>
        <w:t xml:space="preserve"> the reserve unit or group;</w:t>
      </w:r>
    </w:p>
    <w:p w:rsidRPr="00481A94" w:rsidR="00E774A7" w:rsidRDefault="00DE5F62" w14:paraId="7353662F" w14:textId="77777777">
      <w:pPr>
        <w:pStyle w:val="ListParagraph"/>
        <w:numPr>
          <w:ilvl w:val="2"/>
          <w:numId w:val="1"/>
        </w:numPr>
        <w:tabs>
          <w:tab w:val="left" w:pos="968"/>
        </w:tabs>
        <w:rPr>
          <w:sz w:val="24"/>
        </w:rPr>
      </w:pPr>
      <w:r w:rsidRPr="00481A94">
        <w:rPr>
          <w:sz w:val="24"/>
          <w:lang w:bidi="en-US"/>
        </w:rPr>
        <w:t xml:space="preserve">the upward/downward regulation </w:t>
      </w:r>
      <w:r w:rsidRPr="00481A94">
        <w:rPr>
          <w:spacing w:val="-4"/>
          <w:sz w:val="24"/>
          <w:lang w:bidi="en-US"/>
        </w:rPr>
        <w:t>volume</w:t>
      </w:r>
      <w:r w:rsidRPr="00481A94">
        <w:rPr>
          <w:sz w:val="24"/>
          <w:lang w:bidi="en-US"/>
        </w:rPr>
        <w:t xml:space="preserve"> sold to the market for the given trading period;</w:t>
      </w:r>
    </w:p>
    <w:p w:rsidRPr="00481A94" w:rsidR="00E774A7" w:rsidRDefault="00DE5F62" w14:paraId="6184196D" w14:textId="77777777">
      <w:pPr>
        <w:pStyle w:val="ListParagraph"/>
        <w:numPr>
          <w:ilvl w:val="2"/>
          <w:numId w:val="1"/>
        </w:numPr>
        <w:tabs>
          <w:tab w:val="left" w:pos="968"/>
        </w:tabs>
        <w:spacing w:before="1"/>
        <w:rPr>
          <w:sz w:val="24"/>
        </w:rPr>
      </w:pPr>
      <w:r w:rsidRPr="00481A94">
        <w:rPr>
          <w:sz w:val="24"/>
          <w:lang w:bidi="en-US"/>
        </w:rPr>
        <w:t xml:space="preserve">the </w:t>
      </w:r>
      <w:r w:rsidRPr="00481A94">
        <w:rPr>
          <w:spacing w:val="-2"/>
          <w:sz w:val="24"/>
          <w:lang w:bidi="en-US"/>
        </w:rPr>
        <w:t>amount of</w:t>
      </w:r>
      <w:r w:rsidRPr="00481A94">
        <w:rPr>
          <w:sz w:val="24"/>
          <w:lang w:bidi="en-US"/>
        </w:rPr>
        <w:t xml:space="preserve"> aFRR activated;</w:t>
      </w:r>
    </w:p>
    <w:p w:rsidRPr="00481A94" w:rsidR="00E774A7" w:rsidRDefault="00DE5F62" w14:paraId="23D04A48" w14:textId="77777777">
      <w:pPr>
        <w:pStyle w:val="ListParagraph"/>
        <w:numPr>
          <w:ilvl w:val="2"/>
          <w:numId w:val="1"/>
        </w:numPr>
        <w:tabs>
          <w:tab w:val="left" w:pos="968"/>
        </w:tabs>
        <w:rPr>
          <w:sz w:val="24"/>
        </w:rPr>
      </w:pPr>
      <w:r w:rsidRPr="00481A94">
        <w:rPr>
          <w:spacing w:val="-2"/>
          <w:sz w:val="24"/>
          <w:lang w:bidi="en-US"/>
        </w:rPr>
        <w:t>feedback</w:t>
      </w:r>
      <w:r w:rsidRPr="00481A94">
        <w:rPr>
          <w:sz w:val="24"/>
          <w:lang w:bidi="en-US"/>
        </w:rPr>
        <w:t xml:space="preserve"> on the value of the activation signal received from the System Operator.</w:t>
      </w:r>
    </w:p>
    <w:p w:rsidRPr="00481A94" w:rsidR="00E774A7" w:rsidRDefault="00DE5F62" w14:paraId="08BE8447" w14:textId="77777777">
      <w:pPr>
        <w:pStyle w:val="Heading1"/>
        <w:numPr>
          <w:ilvl w:val="0"/>
          <w:numId w:val="1"/>
        </w:numPr>
        <w:tabs>
          <w:tab w:val="left" w:pos="682"/>
        </w:tabs>
        <w:spacing w:before="276"/>
        <w:ind w:hanging="566"/>
      </w:pPr>
      <w:bookmarkStart w:name="_Toc197076272" w:id="11"/>
      <w:r w:rsidRPr="00481A94">
        <w:rPr>
          <w:spacing w:val="-2"/>
          <w:lang w:bidi="en-US"/>
        </w:rPr>
        <w:t>Pricing of</w:t>
      </w:r>
      <w:r w:rsidRPr="00481A94">
        <w:rPr>
          <w:lang w:bidi="en-US"/>
        </w:rPr>
        <w:t xml:space="preserve"> Balancing Offers</w:t>
      </w:r>
      <w:bookmarkEnd w:id="11"/>
    </w:p>
    <w:p w:rsidRPr="00481A94" w:rsidR="00E774A7" w:rsidRDefault="00DE5F62" w14:paraId="0FE53C49" w14:textId="77777777">
      <w:pPr>
        <w:pStyle w:val="ListParagraph"/>
        <w:numPr>
          <w:ilvl w:val="1"/>
          <w:numId w:val="1"/>
        </w:numPr>
        <w:tabs>
          <w:tab w:val="left" w:pos="795"/>
        </w:tabs>
        <w:spacing w:before="276"/>
        <w:ind w:right="113"/>
        <w:jc w:val="both"/>
        <w:rPr>
          <w:sz w:val="24"/>
        </w:rPr>
      </w:pPr>
      <w:r w:rsidRPr="00481A94">
        <w:rPr>
          <w:sz w:val="24"/>
          <w:lang w:bidi="en-US"/>
        </w:rPr>
        <w:t>For aFRR offers that are successful in the Baltic balancing services capacity market, the System Operator shall pay the marginal price, i.e. the price of the highest accepted standard product offer in the relevant bidding zone and trading period. The marginal price shall be determined for the following automatically activated frequency restoration reserve products:</w:t>
      </w:r>
    </w:p>
    <w:p w:rsidRPr="00481A94" w:rsidR="00E774A7" w:rsidRDefault="00DE5F62" w14:paraId="6846819A" w14:textId="77777777">
      <w:pPr>
        <w:pStyle w:val="ListParagraph"/>
        <w:numPr>
          <w:ilvl w:val="2"/>
          <w:numId w:val="1"/>
        </w:numPr>
        <w:tabs>
          <w:tab w:val="left" w:pos="967"/>
        </w:tabs>
        <w:ind w:left="967" w:hanging="851"/>
        <w:jc w:val="both"/>
        <w:rPr>
          <w:sz w:val="24"/>
        </w:rPr>
      </w:pPr>
      <w:r w:rsidRPr="00481A94">
        <w:rPr>
          <w:sz w:val="24"/>
          <w:lang w:bidi="en-US"/>
        </w:rPr>
        <w:t xml:space="preserve">aFRR </w:t>
      </w:r>
      <w:r w:rsidRPr="00481A94">
        <w:rPr>
          <w:spacing w:val="-2"/>
          <w:sz w:val="24"/>
          <w:lang w:bidi="en-US"/>
        </w:rPr>
        <w:t>(downward regulation)</w:t>
      </w:r>
    </w:p>
    <w:p w:rsidRPr="00481A94" w:rsidR="00E774A7" w:rsidRDefault="00DE5F62" w14:paraId="73E6DCEA" w14:textId="77777777">
      <w:pPr>
        <w:pStyle w:val="ListParagraph"/>
        <w:numPr>
          <w:ilvl w:val="2"/>
          <w:numId w:val="1"/>
        </w:numPr>
        <w:tabs>
          <w:tab w:val="left" w:pos="967"/>
        </w:tabs>
        <w:ind w:left="967" w:hanging="851"/>
        <w:jc w:val="both"/>
        <w:rPr>
          <w:sz w:val="24"/>
        </w:rPr>
      </w:pPr>
      <w:r w:rsidRPr="00481A94">
        <w:rPr>
          <w:sz w:val="24"/>
          <w:lang w:bidi="en-US"/>
        </w:rPr>
        <w:t xml:space="preserve">aFRR </w:t>
      </w:r>
      <w:r w:rsidRPr="00481A94">
        <w:rPr>
          <w:spacing w:val="-2"/>
          <w:sz w:val="24"/>
          <w:lang w:bidi="en-US"/>
        </w:rPr>
        <w:t>(upward regulation)</w:t>
      </w:r>
    </w:p>
    <w:p w:rsidRPr="00481A94" w:rsidR="00E774A7" w:rsidRDefault="00DE5F62" w14:paraId="7AB5F364" w14:textId="77777777">
      <w:pPr>
        <w:pStyle w:val="ListParagraph"/>
        <w:numPr>
          <w:ilvl w:val="1"/>
          <w:numId w:val="1"/>
        </w:numPr>
        <w:tabs>
          <w:tab w:val="left" w:pos="795"/>
        </w:tabs>
        <w:ind w:right="117"/>
        <w:jc w:val="both"/>
        <w:rPr>
          <w:sz w:val="24"/>
        </w:rPr>
      </w:pPr>
      <w:bookmarkStart w:name="_bookmark12" w:id="12"/>
      <w:bookmarkEnd w:id="12"/>
      <w:r w:rsidRPr="00481A94">
        <w:rPr>
          <w:sz w:val="24"/>
          <w:lang w:bidi="en-US"/>
        </w:rPr>
        <w:t>The prices of activated offers on the balancing service energy market shall be calculated based on the marginal pricing principle.</w:t>
      </w:r>
    </w:p>
    <w:p w:rsidRPr="00481A94" w:rsidR="00E774A7" w:rsidRDefault="00DE5F62" w14:paraId="3147433B" w14:textId="77777777">
      <w:pPr>
        <w:pStyle w:val="ListParagraph"/>
        <w:numPr>
          <w:ilvl w:val="1"/>
          <w:numId w:val="1"/>
        </w:numPr>
        <w:tabs>
          <w:tab w:val="left" w:pos="795"/>
        </w:tabs>
        <w:ind w:right="119"/>
        <w:jc w:val="both"/>
        <w:rPr>
          <w:sz w:val="24"/>
        </w:rPr>
      </w:pPr>
      <w:bookmarkStart w:name="_bookmark13" w:id="13"/>
      <w:bookmarkEnd w:id="13"/>
      <w:r w:rsidRPr="00481A94">
        <w:rPr>
          <w:sz w:val="24"/>
          <w:lang w:bidi="en-US"/>
        </w:rPr>
        <w:t xml:space="preserve">Activated offers shall be selected and the marginal price determined separately for each optimisation cycle. </w:t>
      </w:r>
      <w:r w:rsidRPr="00481A94">
        <w:rPr>
          <w:spacing w:val="-2"/>
          <w:sz w:val="24"/>
          <w:lang w:bidi="en-US"/>
        </w:rPr>
        <w:t>The optimisation cycle corresponds to the optimisation interval of the PICASSO balancing platform.</w:t>
      </w:r>
    </w:p>
    <w:p w:rsidRPr="00481A94" w:rsidR="00E774A7" w:rsidRDefault="00DE5F62" w14:paraId="15EB0AAC" w14:textId="77777777">
      <w:pPr>
        <w:pStyle w:val="ListParagraph"/>
        <w:numPr>
          <w:ilvl w:val="2"/>
          <w:numId w:val="1"/>
        </w:numPr>
        <w:tabs>
          <w:tab w:val="left" w:pos="968"/>
        </w:tabs>
        <w:ind w:right="115"/>
        <w:jc w:val="both"/>
        <w:rPr>
          <w:sz w:val="24"/>
        </w:rPr>
      </w:pPr>
      <w:r w:rsidRPr="00481A94">
        <w:rPr>
          <w:sz w:val="24"/>
          <w:lang w:bidi="en-US"/>
        </w:rPr>
        <w:t>Payment for the offer shall be made on the basis of the clearing price determined for the Estonian area on the PICASSO platform, but not lower than the offer price.</w:t>
      </w:r>
    </w:p>
    <w:p w:rsidRPr="00481A94" w:rsidR="00E774A7" w:rsidRDefault="00DE5F62" w14:paraId="750532F6" w14:textId="77777777">
      <w:pPr>
        <w:pStyle w:val="ListParagraph"/>
        <w:numPr>
          <w:ilvl w:val="2"/>
          <w:numId w:val="1"/>
        </w:numPr>
        <w:tabs>
          <w:tab w:val="left" w:pos="968"/>
        </w:tabs>
        <w:ind w:right="114"/>
        <w:jc w:val="both"/>
        <w:rPr>
          <w:sz w:val="24"/>
        </w:rPr>
      </w:pPr>
      <w:r w:rsidRPr="00481A94">
        <w:rPr>
          <w:sz w:val="24"/>
          <w:lang w:bidi="en-US"/>
        </w:rPr>
        <w:t xml:space="preserve">If the PICASSO platform is not available for any reason, the clearing price shall be determined by the </w:t>
      </w:r>
      <w:r w:rsidRPr="00481A94">
        <w:rPr>
          <w:spacing w:val="-2"/>
          <w:sz w:val="24"/>
          <w:lang w:bidi="en-US"/>
        </w:rPr>
        <w:t>System Operator;</w:t>
      </w:r>
    </w:p>
    <w:p w:rsidRPr="00481A94" w:rsidR="00E774A7" w:rsidRDefault="00E774A7" w14:paraId="6380F656" w14:textId="77777777">
      <w:pPr>
        <w:jc w:val="both"/>
        <w:rPr>
          <w:sz w:val="24"/>
        </w:rPr>
        <w:sectPr w:rsidRPr="00481A94" w:rsidR="00E774A7">
          <w:pgSz w:w="11910" w:h="16840" w:orient="portrait"/>
          <w:pgMar w:top="1320" w:right="1300" w:bottom="640" w:left="1300" w:header="0" w:footer="456" w:gutter="0"/>
          <w:cols w:space="720"/>
        </w:sectPr>
      </w:pPr>
    </w:p>
    <w:p w:rsidRPr="00481A94" w:rsidR="00E774A7" w:rsidRDefault="00DE5F62" w14:paraId="65771B87" w14:textId="77777777">
      <w:pPr>
        <w:pStyle w:val="ListParagraph"/>
        <w:numPr>
          <w:ilvl w:val="2"/>
          <w:numId w:val="1"/>
        </w:numPr>
        <w:tabs>
          <w:tab w:val="left" w:pos="968"/>
        </w:tabs>
        <w:spacing w:before="76"/>
        <w:ind w:right="113"/>
        <w:jc w:val="both"/>
        <w:rPr>
          <w:sz w:val="24"/>
        </w:rPr>
      </w:pPr>
      <w:r w:rsidRPr="00481A94">
        <w:rPr>
          <w:sz w:val="24"/>
          <w:lang w:bidi="en-US"/>
        </w:rPr>
        <w:lastRenderedPageBreak/>
        <w:t>The minimum and maximum prices for balancing energy shall correspond to the minimum and maximum prices allowed on the PICASSO platform.</w:t>
      </w:r>
    </w:p>
    <w:p w:rsidRPr="00481A94" w:rsidR="00E774A7" w:rsidRDefault="00DE5F62" w14:paraId="25680587" w14:textId="77777777">
      <w:pPr>
        <w:pStyle w:val="ListParagraph"/>
        <w:numPr>
          <w:ilvl w:val="1"/>
          <w:numId w:val="1"/>
        </w:numPr>
        <w:tabs>
          <w:tab w:val="left" w:pos="795"/>
        </w:tabs>
        <w:spacing w:before="1"/>
        <w:ind w:right="117"/>
        <w:jc w:val="both"/>
        <w:rPr>
          <w:sz w:val="24"/>
        </w:rPr>
      </w:pPr>
      <w:r w:rsidRPr="00481A94">
        <w:rPr>
          <w:sz w:val="24"/>
          <w:lang w:bidi="en-US"/>
        </w:rPr>
        <w:t xml:space="preserve">The System Operator and the Balancing Service Provider (except for an independent aggregator) shall settle payments for the electricity delivered under the balancing service based on the price calculated under Section </w:t>
      </w:r>
      <w:hyperlink w:history="1" w:anchor="_bookmark13">
        <w:r w:rsidRPr="00481A94">
          <w:rPr>
            <w:sz w:val="24"/>
            <w:lang w:bidi="en-US"/>
          </w:rPr>
          <w:t>9.3</w:t>
        </w:r>
      </w:hyperlink>
      <w:r w:rsidRPr="00481A94">
        <w:rPr>
          <w:sz w:val="24"/>
          <w:lang w:bidi="en-US"/>
        </w:rPr>
        <w:t>.</w:t>
      </w:r>
    </w:p>
    <w:p w:rsidRPr="00481A94" w:rsidR="00E774A7" w:rsidRDefault="00DE5F62" w14:paraId="22A8CCB5" w14:textId="77777777">
      <w:pPr>
        <w:pStyle w:val="ListParagraph"/>
        <w:numPr>
          <w:ilvl w:val="1"/>
          <w:numId w:val="1"/>
        </w:numPr>
        <w:tabs>
          <w:tab w:val="left" w:pos="795"/>
        </w:tabs>
        <w:ind w:right="119"/>
        <w:jc w:val="both"/>
        <w:rPr>
          <w:sz w:val="24"/>
        </w:rPr>
      </w:pPr>
      <w:r w:rsidRPr="00481A94">
        <w:rPr>
          <w:sz w:val="24"/>
          <w:lang w:bidi="en-US"/>
        </w:rPr>
        <w:t xml:space="preserve">If the Balancing Service Provider is an independent aggregator, the System Operator and the Balancing Service Provider shall settle for the electricity delivered under the balancing service based on the difference between the price specified in Section </w:t>
      </w:r>
      <w:hyperlink w:history="1" w:anchor="_bookmark13">
        <w:r w:rsidRPr="00481A94">
          <w:rPr>
            <w:sz w:val="24"/>
            <w:lang w:bidi="en-US"/>
          </w:rPr>
          <w:t>9.3</w:t>
        </w:r>
      </w:hyperlink>
      <w:r w:rsidRPr="00481A94">
        <w:rPr>
          <w:sz w:val="24"/>
          <w:lang w:bidi="en-US"/>
        </w:rPr>
        <w:t xml:space="preserve"> and the day-ahead price in the Estonian bidding zone.</w:t>
      </w:r>
    </w:p>
    <w:p w:rsidRPr="00481A94" w:rsidR="00E774A7" w:rsidRDefault="00E774A7" w14:paraId="40C20C3A" w14:textId="77777777">
      <w:pPr>
        <w:pStyle w:val="BodyText"/>
        <w:spacing w:before="47"/>
        <w:ind w:left="0" w:firstLine="0"/>
        <w:jc w:val="left"/>
        <w:rPr>
          <w:sz w:val="20"/>
        </w:rPr>
      </w:pPr>
    </w:p>
    <w:tbl>
      <w:tblPr>
        <w:tblW w:w="0" w:type="auto"/>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38"/>
        <w:gridCol w:w="1776"/>
        <w:gridCol w:w="1836"/>
        <w:gridCol w:w="1836"/>
        <w:gridCol w:w="1777"/>
      </w:tblGrid>
      <w:tr w:rsidRPr="00481A94" w:rsidR="00E774A7" w14:paraId="17EEEEAB" w14:textId="77777777">
        <w:trPr>
          <w:trHeight w:val="542"/>
        </w:trPr>
        <w:tc>
          <w:tcPr>
            <w:tcW w:w="1838" w:type="dxa"/>
          </w:tcPr>
          <w:p w:rsidRPr="00481A94" w:rsidR="00E774A7" w:rsidRDefault="00DE5F62" w14:paraId="6F5BEA0E" w14:textId="77777777">
            <w:pPr>
              <w:pStyle w:val="TableParagraph"/>
              <w:spacing w:line="270" w:lineRule="atLeast"/>
              <w:ind w:left="110"/>
              <w:rPr>
                <w:sz w:val="24"/>
              </w:rPr>
            </w:pPr>
            <w:r w:rsidRPr="00481A94">
              <w:rPr>
                <w:spacing w:val="-2"/>
                <w:sz w:val="24"/>
                <w:lang w:bidi="en-US"/>
              </w:rPr>
              <w:t>Direction</w:t>
            </w:r>
            <w:r w:rsidRPr="00481A94">
              <w:rPr>
                <w:sz w:val="24"/>
                <w:lang w:bidi="en-US"/>
              </w:rPr>
              <w:t xml:space="preserve"> of balancing service:</w:t>
            </w:r>
          </w:p>
        </w:tc>
        <w:tc>
          <w:tcPr>
            <w:tcW w:w="3612" w:type="dxa"/>
            <w:gridSpan w:val="2"/>
          </w:tcPr>
          <w:p w:rsidRPr="00481A94" w:rsidR="00E774A7" w:rsidRDefault="00DE5F62" w14:paraId="342F04E3" w14:textId="77777777">
            <w:pPr>
              <w:pStyle w:val="TableParagraph"/>
              <w:spacing w:before="1"/>
              <w:rPr>
                <w:sz w:val="24"/>
              </w:rPr>
            </w:pPr>
            <w:r w:rsidRPr="00481A94">
              <w:rPr>
                <w:spacing w:val="-2"/>
                <w:sz w:val="24"/>
                <w:lang w:bidi="en-US"/>
              </w:rPr>
              <w:t>Upward regulation</w:t>
            </w:r>
          </w:p>
        </w:tc>
        <w:tc>
          <w:tcPr>
            <w:tcW w:w="3613" w:type="dxa"/>
            <w:gridSpan w:val="2"/>
          </w:tcPr>
          <w:p w:rsidRPr="00481A94" w:rsidR="00E774A7" w:rsidRDefault="00DE5F62" w14:paraId="0ADB3E3A" w14:textId="77777777">
            <w:pPr>
              <w:pStyle w:val="TableParagraph"/>
              <w:spacing w:before="1"/>
              <w:ind w:left="109"/>
              <w:rPr>
                <w:sz w:val="24"/>
              </w:rPr>
            </w:pPr>
            <w:r w:rsidRPr="00481A94">
              <w:rPr>
                <w:spacing w:val="-2"/>
                <w:sz w:val="24"/>
                <w:lang w:bidi="en-US"/>
              </w:rPr>
              <w:t>Downward regulation</w:t>
            </w:r>
          </w:p>
        </w:tc>
      </w:tr>
      <w:tr w:rsidRPr="00481A94" w:rsidR="00E774A7" w14:paraId="609AD5AE" w14:textId="77777777">
        <w:trPr>
          <w:trHeight w:val="539"/>
        </w:trPr>
        <w:tc>
          <w:tcPr>
            <w:tcW w:w="1838" w:type="dxa"/>
          </w:tcPr>
          <w:p w:rsidRPr="00481A94" w:rsidR="00E774A7" w:rsidRDefault="00DE5F62" w14:paraId="4446E76B" w14:textId="77777777">
            <w:pPr>
              <w:pStyle w:val="TableParagraph"/>
              <w:spacing w:line="269" w:lineRule="exact"/>
              <w:ind w:left="110"/>
              <w:rPr>
                <w:sz w:val="24"/>
              </w:rPr>
            </w:pPr>
            <w:r w:rsidRPr="00481A94">
              <w:rPr>
                <w:spacing w:val="-2"/>
                <w:sz w:val="24"/>
                <w:lang w:bidi="en-US"/>
              </w:rPr>
              <w:t>Price of balancing service:</w:t>
            </w:r>
          </w:p>
          <w:p w:rsidRPr="00481A94" w:rsidR="00E774A7" w:rsidRDefault="00E774A7" w14:paraId="6F28D0C8" w14:textId="77777777">
            <w:pPr>
              <w:pStyle w:val="TableParagraph"/>
              <w:spacing w:before="1" w:line="249" w:lineRule="exact"/>
              <w:ind w:left="110"/>
              <w:rPr>
                <w:sz w:val="24"/>
              </w:rPr>
            </w:pPr>
          </w:p>
        </w:tc>
        <w:tc>
          <w:tcPr>
            <w:tcW w:w="1776" w:type="dxa"/>
          </w:tcPr>
          <w:p w:rsidRPr="00481A94" w:rsidR="00E774A7" w:rsidRDefault="00DE5F62" w14:paraId="0BDE6B7D" w14:textId="77777777">
            <w:pPr>
              <w:pStyle w:val="TableParagraph"/>
              <w:spacing w:line="269" w:lineRule="exact"/>
              <w:rPr>
                <w:sz w:val="24"/>
              </w:rPr>
            </w:pPr>
            <w:r w:rsidRPr="00481A94">
              <w:rPr>
                <w:spacing w:val="-5"/>
                <w:sz w:val="24"/>
                <w:lang w:bidi="en-US"/>
              </w:rPr>
              <w:t>&gt;0</w:t>
            </w:r>
          </w:p>
        </w:tc>
        <w:tc>
          <w:tcPr>
            <w:tcW w:w="1836" w:type="dxa"/>
          </w:tcPr>
          <w:p w:rsidRPr="00481A94" w:rsidR="00E774A7" w:rsidRDefault="00DE5F62" w14:paraId="6ECE645D" w14:textId="77777777">
            <w:pPr>
              <w:pStyle w:val="TableParagraph"/>
              <w:spacing w:line="269" w:lineRule="exact"/>
              <w:rPr>
                <w:sz w:val="24"/>
              </w:rPr>
            </w:pPr>
            <w:r w:rsidRPr="00481A94">
              <w:rPr>
                <w:spacing w:val="-5"/>
                <w:sz w:val="24"/>
                <w:lang w:bidi="en-US"/>
              </w:rPr>
              <w:t>&lt;0</w:t>
            </w:r>
          </w:p>
        </w:tc>
        <w:tc>
          <w:tcPr>
            <w:tcW w:w="1836" w:type="dxa"/>
          </w:tcPr>
          <w:p w:rsidRPr="00481A94" w:rsidR="00E774A7" w:rsidRDefault="00DE5F62" w14:paraId="7EED2856" w14:textId="77777777">
            <w:pPr>
              <w:pStyle w:val="TableParagraph"/>
              <w:spacing w:line="269" w:lineRule="exact"/>
              <w:ind w:left="109"/>
              <w:rPr>
                <w:sz w:val="24"/>
              </w:rPr>
            </w:pPr>
            <w:r w:rsidRPr="00481A94">
              <w:rPr>
                <w:spacing w:val="-5"/>
                <w:sz w:val="24"/>
                <w:lang w:bidi="en-US"/>
              </w:rPr>
              <w:t>&gt;0</w:t>
            </w:r>
          </w:p>
        </w:tc>
        <w:tc>
          <w:tcPr>
            <w:tcW w:w="1777" w:type="dxa"/>
          </w:tcPr>
          <w:p w:rsidRPr="00481A94" w:rsidR="00E774A7" w:rsidRDefault="00DE5F62" w14:paraId="6B316273" w14:textId="77777777">
            <w:pPr>
              <w:pStyle w:val="TableParagraph"/>
              <w:spacing w:line="269" w:lineRule="exact"/>
              <w:ind w:left="109"/>
              <w:rPr>
                <w:sz w:val="24"/>
              </w:rPr>
            </w:pPr>
            <w:r w:rsidRPr="00481A94">
              <w:rPr>
                <w:spacing w:val="-5"/>
                <w:sz w:val="24"/>
                <w:lang w:bidi="en-US"/>
              </w:rPr>
              <w:t>&lt;0</w:t>
            </w:r>
          </w:p>
        </w:tc>
      </w:tr>
      <w:tr w:rsidRPr="00481A94" w:rsidR="00E774A7" w14:paraId="59866389" w14:textId="77777777">
        <w:trPr>
          <w:trHeight w:val="1080"/>
        </w:trPr>
        <w:tc>
          <w:tcPr>
            <w:tcW w:w="1838" w:type="dxa"/>
          </w:tcPr>
          <w:p w:rsidRPr="00481A94" w:rsidR="00E774A7" w:rsidRDefault="00DE5F62" w14:paraId="2F045073" w14:textId="77777777">
            <w:pPr>
              <w:pStyle w:val="TableParagraph"/>
              <w:spacing w:line="269" w:lineRule="exact"/>
              <w:ind w:left="110"/>
              <w:rPr>
                <w:sz w:val="24"/>
              </w:rPr>
            </w:pPr>
            <w:r w:rsidRPr="00481A94">
              <w:rPr>
                <w:spacing w:val="-2"/>
                <w:sz w:val="24"/>
                <w:lang w:bidi="en-US"/>
              </w:rPr>
              <w:t>Cash flows:</w:t>
            </w:r>
          </w:p>
        </w:tc>
        <w:tc>
          <w:tcPr>
            <w:tcW w:w="1776" w:type="dxa"/>
          </w:tcPr>
          <w:p w:rsidRPr="00481A94" w:rsidR="00E774A7" w:rsidRDefault="00DE5F62" w14:paraId="538F1641" w14:textId="77777777">
            <w:pPr>
              <w:pStyle w:val="TableParagraph"/>
              <w:rPr>
                <w:sz w:val="24"/>
              </w:rPr>
            </w:pPr>
            <w:r w:rsidRPr="00481A94">
              <w:rPr>
                <w:spacing w:val="-2"/>
                <w:sz w:val="24"/>
                <w:lang w:bidi="en-US"/>
              </w:rPr>
              <w:t>System Operator pays the Balancing Service Provider</w:t>
            </w:r>
          </w:p>
          <w:p w:rsidRPr="00481A94" w:rsidR="00E774A7" w:rsidRDefault="00E774A7" w14:paraId="3355AA95" w14:textId="77777777">
            <w:pPr>
              <w:pStyle w:val="TableParagraph"/>
              <w:spacing w:before="1" w:line="249" w:lineRule="exact"/>
              <w:rPr>
                <w:sz w:val="24"/>
              </w:rPr>
            </w:pPr>
          </w:p>
        </w:tc>
        <w:tc>
          <w:tcPr>
            <w:tcW w:w="1836" w:type="dxa"/>
          </w:tcPr>
          <w:p w:rsidRPr="00481A94" w:rsidR="00E774A7" w:rsidRDefault="00DE5F62" w14:paraId="787DF057" w14:textId="77777777">
            <w:pPr>
              <w:pStyle w:val="TableParagraph"/>
              <w:ind w:right="133"/>
              <w:rPr>
                <w:sz w:val="24"/>
              </w:rPr>
            </w:pPr>
            <w:r w:rsidRPr="00481A94">
              <w:rPr>
                <w:spacing w:val="-2"/>
                <w:sz w:val="24"/>
                <w:lang w:bidi="en-US"/>
              </w:rPr>
              <w:t>Balancing Service Provider</w:t>
            </w:r>
            <w:r w:rsidRPr="00481A94">
              <w:rPr>
                <w:sz w:val="24"/>
                <w:lang w:bidi="en-US"/>
              </w:rPr>
              <w:t xml:space="preserve"> </w:t>
            </w:r>
            <w:r w:rsidRPr="00481A94">
              <w:rPr>
                <w:spacing w:val="-2"/>
                <w:sz w:val="24"/>
                <w:lang w:bidi="en-US"/>
              </w:rPr>
              <w:t>pays</w:t>
            </w:r>
            <w:r w:rsidRPr="00481A94">
              <w:rPr>
                <w:sz w:val="24"/>
                <w:lang w:bidi="en-US"/>
              </w:rPr>
              <w:t xml:space="preserve"> the System Operator</w:t>
            </w:r>
          </w:p>
          <w:p w:rsidRPr="00481A94" w:rsidR="00E774A7" w:rsidRDefault="00E774A7" w14:paraId="127A2E1F" w14:textId="77777777">
            <w:pPr>
              <w:pStyle w:val="TableParagraph"/>
              <w:spacing w:before="1" w:line="249" w:lineRule="exact"/>
              <w:rPr>
                <w:sz w:val="24"/>
              </w:rPr>
            </w:pPr>
          </w:p>
        </w:tc>
        <w:tc>
          <w:tcPr>
            <w:tcW w:w="1836" w:type="dxa"/>
          </w:tcPr>
          <w:p w:rsidRPr="00481A94" w:rsidR="00E774A7" w:rsidRDefault="00DE5F62" w14:paraId="7448201E" w14:textId="77777777">
            <w:pPr>
              <w:pStyle w:val="TableParagraph"/>
              <w:ind w:left="109" w:right="132"/>
              <w:rPr>
                <w:sz w:val="24"/>
              </w:rPr>
            </w:pPr>
            <w:r w:rsidRPr="00481A94">
              <w:rPr>
                <w:spacing w:val="-2"/>
                <w:sz w:val="24"/>
                <w:lang w:bidi="en-US"/>
              </w:rPr>
              <w:t>Balancing Service Provider</w:t>
            </w:r>
            <w:r w:rsidRPr="00481A94">
              <w:rPr>
                <w:sz w:val="24"/>
                <w:lang w:bidi="en-US"/>
              </w:rPr>
              <w:t xml:space="preserve"> </w:t>
            </w:r>
            <w:r w:rsidRPr="00481A94">
              <w:rPr>
                <w:spacing w:val="-2"/>
                <w:sz w:val="24"/>
                <w:lang w:bidi="en-US"/>
              </w:rPr>
              <w:t>pays</w:t>
            </w:r>
            <w:r w:rsidRPr="00481A94">
              <w:rPr>
                <w:sz w:val="24"/>
                <w:lang w:bidi="en-US"/>
              </w:rPr>
              <w:t xml:space="preserve"> the System Operator</w:t>
            </w:r>
          </w:p>
          <w:p w:rsidRPr="00481A94" w:rsidR="00E774A7" w:rsidRDefault="00E774A7" w14:paraId="0E051C55" w14:textId="77777777">
            <w:pPr>
              <w:pStyle w:val="TableParagraph"/>
              <w:spacing w:before="1" w:line="249" w:lineRule="exact"/>
              <w:ind w:left="109"/>
              <w:rPr>
                <w:sz w:val="24"/>
              </w:rPr>
            </w:pPr>
          </w:p>
        </w:tc>
        <w:tc>
          <w:tcPr>
            <w:tcW w:w="1777" w:type="dxa"/>
          </w:tcPr>
          <w:p w:rsidRPr="00481A94" w:rsidR="00E774A7" w:rsidRDefault="00DE5F62" w14:paraId="751C9F0D" w14:textId="77777777">
            <w:pPr>
              <w:pStyle w:val="TableParagraph"/>
              <w:ind w:left="109"/>
              <w:rPr>
                <w:sz w:val="24"/>
              </w:rPr>
            </w:pPr>
            <w:r w:rsidRPr="00481A94">
              <w:rPr>
                <w:spacing w:val="-2"/>
                <w:sz w:val="24"/>
                <w:lang w:bidi="en-US"/>
              </w:rPr>
              <w:t>System Operator pays the Balancing Service Provider</w:t>
            </w:r>
          </w:p>
          <w:p w:rsidRPr="00481A94" w:rsidR="00E774A7" w:rsidRDefault="00E774A7" w14:paraId="660E9C13" w14:textId="77777777">
            <w:pPr>
              <w:pStyle w:val="TableParagraph"/>
              <w:spacing w:before="1" w:line="249" w:lineRule="exact"/>
              <w:ind w:left="109"/>
              <w:rPr>
                <w:sz w:val="24"/>
              </w:rPr>
            </w:pPr>
          </w:p>
        </w:tc>
      </w:tr>
    </w:tbl>
    <w:p w:rsidRPr="00481A94" w:rsidR="00E774A7" w:rsidRDefault="00E774A7" w14:paraId="13A5686C" w14:textId="77777777">
      <w:pPr>
        <w:pStyle w:val="BodyText"/>
        <w:ind w:left="0" w:firstLine="0"/>
        <w:jc w:val="left"/>
      </w:pPr>
    </w:p>
    <w:p w:rsidRPr="00481A94" w:rsidR="00E774A7" w:rsidRDefault="00E774A7" w14:paraId="4BA3AF0E" w14:textId="77777777">
      <w:pPr>
        <w:pStyle w:val="BodyText"/>
        <w:spacing w:before="275"/>
        <w:ind w:left="0" w:firstLine="0"/>
        <w:jc w:val="left"/>
      </w:pPr>
    </w:p>
    <w:p w:rsidRPr="00481A94" w:rsidR="00E774A7" w:rsidRDefault="00DE5F62" w14:paraId="617F9249" w14:textId="77777777">
      <w:pPr>
        <w:pStyle w:val="Heading1"/>
        <w:numPr>
          <w:ilvl w:val="0"/>
          <w:numId w:val="1"/>
        </w:numPr>
        <w:tabs>
          <w:tab w:val="left" w:pos="682"/>
        </w:tabs>
        <w:ind w:hanging="566"/>
      </w:pPr>
      <w:bookmarkStart w:name="_Toc197076273" w:id="14"/>
      <w:r w:rsidRPr="00481A94">
        <w:rPr>
          <w:spacing w:val="-2"/>
          <w:lang w:bidi="en-US"/>
        </w:rPr>
        <w:t>Clarification</w:t>
      </w:r>
      <w:r w:rsidRPr="00481A94">
        <w:rPr>
          <w:lang w:bidi="en-US"/>
        </w:rPr>
        <w:t xml:space="preserve"> of Balancing Service Offers</w:t>
      </w:r>
      <w:bookmarkEnd w:id="14"/>
    </w:p>
    <w:p w:rsidRPr="00481A94" w:rsidR="00E774A7" w:rsidRDefault="00E774A7" w14:paraId="761BF16E" w14:textId="77777777">
      <w:pPr>
        <w:pStyle w:val="BodyText"/>
        <w:ind w:left="0" w:firstLine="0"/>
        <w:jc w:val="left"/>
        <w:rPr>
          <w:b/>
        </w:rPr>
      </w:pPr>
    </w:p>
    <w:p w:rsidRPr="00481A94" w:rsidR="00E774A7" w:rsidRDefault="00DE5F62" w14:paraId="2909ECEB" w14:textId="77777777">
      <w:pPr>
        <w:pStyle w:val="ListParagraph"/>
        <w:numPr>
          <w:ilvl w:val="1"/>
          <w:numId w:val="1"/>
        </w:numPr>
        <w:tabs>
          <w:tab w:val="left" w:pos="795"/>
        </w:tabs>
        <w:ind w:right="121"/>
        <w:jc w:val="both"/>
        <w:rPr>
          <w:sz w:val="24"/>
        </w:rPr>
      </w:pPr>
      <w:r w:rsidRPr="00481A94">
        <w:rPr>
          <w:sz w:val="24"/>
          <w:lang w:bidi="en-US"/>
        </w:rPr>
        <w:t>Energy-based balancing service offers shall be clarified in accordance with the balancing service orders issued by the System Operator.</w:t>
      </w:r>
    </w:p>
    <w:p w:rsidRPr="00481A94" w:rsidR="00E774A7" w:rsidRDefault="00DE5F62" w14:paraId="7CD2B2D5" w14:textId="77777777">
      <w:pPr>
        <w:pStyle w:val="ListParagraph"/>
        <w:numPr>
          <w:ilvl w:val="1"/>
          <w:numId w:val="1"/>
        </w:numPr>
        <w:tabs>
          <w:tab w:val="left" w:pos="795"/>
        </w:tabs>
        <w:ind w:right="115"/>
        <w:jc w:val="both"/>
        <w:rPr>
          <w:sz w:val="24"/>
        </w:rPr>
      </w:pPr>
      <w:r w:rsidRPr="00481A94">
        <w:rPr>
          <w:sz w:val="24"/>
          <w:lang w:bidi="en-US"/>
        </w:rPr>
        <w:t>For each clarification period, the System Operator shall calculate the quantity of balancing energy sold and purchased by the Balancing Service Provider with an accuracy of one (1) kWh, and the corresponding amount (EUR) with a precision of two decimal places.</w:t>
      </w:r>
    </w:p>
    <w:p w:rsidRPr="00481A94" w:rsidR="00E774A7" w:rsidRDefault="00DE5F62" w14:paraId="3A238FD0" w14:textId="77777777">
      <w:pPr>
        <w:pStyle w:val="ListParagraph"/>
        <w:numPr>
          <w:ilvl w:val="1"/>
          <w:numId w:val="1"/>
        </w:numPr>
        <w:tabs>
          <w:tab w:val="left" w:pos="795"/>
        </w:tabs>
        <w:ind w:right="123"/>
        <w:jc w:val="both"/>
        <w:rPr>
          <w:sz w:val="24"/>
        </w:rPr>
      </w:pPr>
      <w:bookmarkStart w:name="_bookmark15" w:id="15"/>
      <w:bookmarkEnd w:id="15"/>
      <w:r w:rsidRPr="00481A94">
        <w:rPr>
          <w:sz w:val="24"/>
          <w:lang w:bidi="en-US"/>
        </w:rPr>
        <w:t>The amount of the electricity delivered under the balancing service (MWh) shall be calculated by multiplying the power (MW) ordered via the activation signal by the duration (h).</w:t>
      </w:r>
    </w:p>
    <w:p w:rsidRPr="00481A94" w:rsidR="00E774A7" w:rsidRDefault="00DE5F62" w14:paraId="0150F0EA" w14:textId="77777777">
      <w:pPr>
        <w:pStyle w:val="ListParagraph"/>
        <w:numPr>
          <w:ilvl w:val="1"/>
          <w:numId w:val="1"/>
        </w:numPr>
        <w:tabs>
          <w:tab w:val="left" w:pos="795"/>
        </w:tabs>
        <w:spacing w:before="1"/>
        <w:ind w:right="121"/>
        <w:jc w:val="both"/>
        <w:rPr>
          <w:sz w:val="24"/>
        </w:rPr>
      </w:pPr>
      <w:r w:rsidRPr="00481A94">
        <w:rPr>
          <w:sz w:val="24"/>
          <w:lang w:bidi="en-US"/>
        </w:rPr>
        <w:t xml:space="preserve">The amount of the electricity delivered under the balancing service (EUR) shall be calculated by multiplying the quantity determined in Section </w:t>
      </w:r>
      <w:hyperlink w:history="1" w:anchor="_bookmark15">
        <w:r w:rsidRPr="00481A94">
          <w:rPr>
            <w:sz w:val="24"/>
            <w:lang w:bidi="en-US"/>
          </w:rPr>
          <w:t>10.3</w:t>
        </w:r>
      </w:hyperlink>
      <w:r w:rsidRPr="00481A94">
        <w:rPr>
          <w:sz w:val="24"/>
          <w:lang w:bidi="en-US"/>
        </w:rPr>
        <w:t xml:space="preserve"> by the price calculated in accordance with Section </w:t>
      </w:r>
      <w:hyperlink w:history="1" w:anchor="_bookmark12">
        <w:r w:rsidRPr="00481A94">
          <w:rPr>
            <w:sz w:val="24"/>
            <w:lang w:bidi="en-US"/>
          </w:rPr>
          <w:t>9.2</w:t>
        </w:r>
      </w:hyperlink>
      <w:r w:rsidRPr="00481A94">
        <w:rPr>
          <w:sz w:val="24"/>
          <w:lang w:bidi="en-US"/>
        </w:rPr>
        <w:t>.</w:t>
      </w:r>
    </w:p>
    <w:p w:rsidRPr="00481A94" w:rsidR="00E774A7" w:rsidRDefault="00DE5F62" w14:paraId="1936E606" w14:textId="77777777">
      <w:pPr>
        <w:pStyle w:val="ListParagraph"/>
        <w:numPr>
          <w:ilvl w:val="1"/>
          <w:numId w:val="1"/>
        </w:numPr>
        <w:tabs>
          <w:tab w:val="left" w:pos="795"/>
        </w:tabs>
        <w:ind w:right="120"/>
        <w:jc w:val="both"/>
        <w:rPr>
          <w:sz w:val="24"/>
        </w:rPr>
      </w:pPr>
      <w:r w:rsidRPr="00481A94">
        <w:rPr>
          <w:sz w:val="24"/>
          <w:lang w:bidi="en-US"/>
        </w:rPr>
        <w:t>The amount and the value of electricity delivered under the balancing service shall be determined separately for each optimisation cycle.</w:t>
      </w:r>
    </w:p>
    <w:p w:rsidRPr="00481A94" w:rsidR="00E774A7" w:rsidRDefault="00DE5F62" w14:paraId="6A2343AD" w14:textId="77777777">
      <w:pPr>
        <w:pStyle w:val="ListParagraph"/>
        <w:numPr>
          <w:ilvl w:val="1"/>
          <w:numId w:val="1"/>
        </w:numPr>
        <w:tabs>
          <w:tab w:val="left" w:pos="795"/>
        </w:tabs>
        <w:ind w:right="121"/>
        <w:jc w:val="both"/>
        <w:rPr>
          <w:sz w:val="24"/>
        </w:rPr>
      </w:pPr>
      <w:r w:rsidRPr="00481A94">
        <w:rPr>
          <w:sz w:val="24"/>
          <w:lang w:bidi="en-US"/>
        </w:rPr>
        <w:t>The total cost of the balancing service for the clarification period shall be calculated as the sum of the costs of those optimisation cycles.</w:t>
      </w:r>
    </w:p>
    <w:p w:rsidRPr="00481A94" w:rsidR="00E774A7" w:rsidRDefault="00DE5F62" w14:paraId="65E844D6" w14:textId="77777777">
      <w:pPr>
        <w:pStyle w:val="ListParagraph"/>
        <w:numPr>
          <w:ilvl w:val="1"/>
          <w:numId w:val="1"/>
        </w:numPr>
        <w:tabs>
          <w:tab w:val="left" w:pos="795"/>
        </w:tabs>
        <w:ind w:right="118"/>
        <w:jc w:val="both"/>
        <w:rPr>
          <w:sz w:val="24"/>
        </w:rPr>
      </w:pPr>
      <w:bookmarkStart w:name="_bookmark16" w:id="16"/>
      <w:bookmarkEnd w:id="16"/>
      <w:r w:rsidRPr="00481A94">
        <w:rPr>
          <w:sz w:val="24"/>
          <w:lang w:bidi="en-US"/>
        </w:rPr>
        <w:t xml:space="preserve">The System Operator shall submit to the Balancing Service Provider reports on the balancing service orders issued during the previous day, broken down by clarification periods, no later than </w:t>
      </w:r>
      <w:r w:rsidRPr="00481A94">
        <w:rPr>
          <w:spacing w:val="-2"/>
          <w:sz w:val="24"/>
          <w:lang w:bidi="en-US"/>
        </w:rPr>
        <w:t>12:00</w:t>
      </w:r>
      <w:r w:rsidRPr="00481A94">
        <w:rPr>
          <w:lang w:bidi="en-US"/>
        </w:rPr>
        <w:t xml:space="preserve"> on the following day.</w:t>
      </w:r>
    </w:p>
    <w:p w:rsidRPr="00481A94" w:rsidR="00E774A7" w:rsidRDefault="00DE5F62" w14:paraId="1AA5A700" w14:textId="77777777">
      <w:pPr>
        <w:pStyle w:val="ListParagraph"/>
        <w:numPr>
          <w:ilvl w:val="1"/>
          <w:numId w:val="1"/>
        </w:numPr>
        <w:tabs>
          <w:tab w:val="left" w:pos="795"/>
        </w:tabs>
        <w:ind w:right="119"/>
        <w:jc w:val="both"/>
        <w:rPr>
          <w:sz w:val="24"/>
        </w:rPr>
      </w:pPr>
      <w:r w:rsidRPr="00481A94">
        <w:rPr>
          <w:sz w:val="24"/>
          <w:lang w:bidi="en-US"/>
        </w:rPr>
        <w:t>In the event of a dispute between the System Operator and the Balancing Service Provider, the activation signal transmitted in real time shall serve as the basis for resolving the disagreement.</w:t>
      </w:r>
    </w:p>
    <w:p w:rsidRPr="00481A94" w:rsidR="00E774A7" w:rsidRDefault="00DE5F62" w14:paraId="60047BFF" w14:textId="77777777">
      <w:pPr>
        <w:pStyle w:val="ListParagraph"/>
        <w:numPr>
          <w:ilvl w:val="1"/>
          <w:numId w:val="1"/>
        </w:numPr>
        <w:tabs>
          <w:tab w:val="left" w:pos="795"/>
        </w:tabs>
        <w:ind w:right="117"/>
        <w:jc w:val="both"/>
        <w:rPr>
          <w:sz w:val="24"/>
        </w:rPr>
      </w:pPr>
      <w:r w:rsidRPr="00481A94">
        <w:rPr>
          <w:sz w:val="24"/>
          <w:lang w:bidi="en-US"/>
        </w:rPr>
        <w:t xml:space="preserve">The Balancing Service Provider shall validate and, if necessary, provide feedback to the System Operator on the quantities specified in the balancing service report referred to in Section </w:t>
      </w:r>
      <w:hyperlink w:history="1" w:anchor="_bookmark16">
        <w:r w:rsidRPr="00481A94">
          <w:rPr>
            <w:sz w:val="24"/>
            <w:lang w:bidi="en-US"/>
          </w:rPr>
          <w:t>10.7</w:t>
        </w:r>
      </w:hyperlink>
      <w:r w:rsidRPr="00481A94">
        <w:rPr>
          <w:sz w:val="24"/>
          <w:lang w:bidi="en-US"/>
        </w:rPr>
        <w:t xml:space="preserve"> within two working days. If the Balancing Service Provider fails to provide feedback to the System Operator, the quantities shall be deemed confirmed.</w:t>
      </w:r>
    </w:p>
    <w:p w:rsidRPr="00481A94" w:rsidR="00E774A7" w:rsidRDefault="00DE5F62" w14:paraId="2715CD0A" w14:textId="77777777">
      <w:pPr>
        <w:pStyle w:val="ListParagraph"/>
        <w:numPr>
          <w:ilvl w:val="1"/>
          <w:numId w:val="1"/>
        </w:numPr>
        <w:tabs>
          <w:tab w:val="left" w:pos="795"/>
        </w:tabs>
        <w:spacing w:before="1"/>
        <w:ind w:right="118"/>
        <w:jc w:val="both"/>
        <w:rPr>
          <w:sz w:val="24"/>
        </w:rPr>
      </w:pPr>
      <w:r w:rsidRPr="00481A94">
        <w:rPr>
          <w:sz w:val="24"/>
          <w:lang w:bidi="en-US"/>
        </w:rPr>
        <w:t xml:space="preserve">The quantity of balancing energy sold and purchased according to the System Operator’s order shall be included by the System Operator in the balance report of the </w:t>
      </w:r>
      <w:r w:rsidRPr="00481A94">
        <w:rPr>
          <w:sz w:val="24"/>
          <w:lang w:bidi="en-US"/>
        </w:rPr>
        <w:lastRenderedPageBreak/>
        <w:t>Balancing Service Provider’s balance provider, except where the Balancing Service Provider is an independent aggregator.</w:t>
      </w:r>
    </w:p>
    <w:p w:rsidRPr="00481A94" w:rsidR="00E774A7" w:rsidRDefault="00DE5F62" w14:paraId="0A67C596" w14:textId="77777777">
      <w:pPr>
        <w:pStyle w:val="ListParagraph"/>
        <w:numPr>
          <w:ilvl w:val="1"/>
          <w:numId w:val="1"/>
        </w:numPr>
        <w:tabs>
          <w:tab w:val="left" w:pos="795"/>
        </w:tabs>
        <w:ind w:right="115"/>
        <w:jc w:val="both"/>
        <w:rPr>
          <w:sz w:val="24"/>
        </w:rPr>
      </w:pPr>
      <w:r w:rsidRPr="00481A94">
        <w:rPr>
          <w:sz w:val="24"/>
          <w:lang w:bidi="en-US"/>
        </w:rPr>
        <w:t>If the Balancing Service Provider is an independent aggregator, it must submit data on balancing energy volumes to the data exchange platform in accordance with the user guide for the data exchange platform and within the deadlines specified therein.</w:t>
      </w:r>
    </w:p>
    <w:p w:rsidRPr="00481A94" w:rsidR="00E774A7" w:rsidRDefault="00E774A7" w14:paraId="4A13D3DF" w14:textId="77777777">
      <w:pPr>
        <w:jc w:val="both"/>
        <w:rPr>
          <w:sz w:val="24"/>
        </w:rPr>
        <w:sectPr w:rsidRPr="00481A94" w:rsidR="00E774A7">
          <w:pgSz w:w="11910" w:h="16840" w:orient="portrait"/>
          <w:pgMar w:top="1320" w:right="1300" w:bottom="640" w:left="1300" w:header="0" w:footer="456" w:gutter="0"/>
          <w:cols w:space="720"/>
        </w:sectPr>
      </w:pPr>
    </w:p>
    <w:p w:rsidRPr="00481A94" w:rsidR="00E774A7" w:rsidRDefault="00DE5F62" w14:paraId="75B3FDAE" w14:textId="77777777">
      <w:pPr>
        <w:pStyle w:val="ListParagraph"/>
        <w:numPr>
          <w:ilvl w:val="1"/>
          <w:numId w:val="1"/>
        </w:numPr>
        <w:tabs>
          <w:tab w:val="left" w:pos="795"/>
        </w:tabs>
        <w:spacing w:before="76"/>
        <w:ind w:right="116"/>
        <w:jc w:val="both"/>
        <w:rPr>
          <w:sz w:val="24"/>
        </w:rPr>
      </w:pPr>
      <w:r w:rsidRPr="00481A94">
        <w:rPr>
          <w:sz w:val="24"/>
          <w:lang w:bidi="en-US"/>
        </w:rPr>
        <w:lastRenderedPageBreak/>
        <w:t xml:space="preserve">If the Balancing Service Provider is an independent aggregator, the quantity of balancing energy sold and purchased shall be taken into account by the System Operator in the balance report of the balance provider responsible for the resource participating in the offer, and the imbalance of the Balancing Service Provider shall be recorded in the </w:t>
      </w:r>
      <w:r w:rsidRPr="00481A94">
        <w:rPr>
          <w:spacing w:val="-2"/>
          <w:sz w:val="24"/>
          <w:lang w:bidi="en-US"/>
        </w:rPr>
        <w:t>balance report</w:t>
      </w:r>
      <w:r w:rsidRPr="00481A94">
        <w:rPr>
          <w:sz w:val="24"/>
          <w:lang w:bidi="en-US"/>
        </w:rPr>
        <w:t xml:space="preserve"> of its own balance provider.</w:t>
      </w:r>
    </w:p>
    <w:p w:rsidRPr="00481A94" w:rsidR="00E774A7" w:rsidRDefault="00DE5F62" w14:paraId="1517FD17" w14:textId="77777777">
      <w:pPr>
        <w:pStyle w:val="ListParagraph"/>
        <w:numPr>
          <w:ilvl w:val="1"/>
          <w:numId w:val="1"/>
        </w:numPr>
        <w:tabs>
          <w:tab w:val="left" w:pos="795"/>
        </w:tabs>
        <w:spacing w:before="1"/>
        <w:ind w:right="118"/>
        <w:jc w:val="both"/>
        <w:rPr>
          <w:sz w:val="24"/>
        </w:rPr>
      </w:pPr>
      <w:r w:rsidRPr="00481A94">
        <w:rPr>
          <w:sz w:val="24"/>
          <w:lang w:bidi="en-US"/>
        </w:rPr>
        <w:t>The System Operator shall submit the balancing service offer data for settlement no later than the eighth (8th) calendar day of each month.</w:t>
      </w:r>
    </w:p>
    <w:p w:rsidRPr="00481A94" w:rsidR="00E774A7" w:rsidRDefault="00E774A7" w14:paraId="54551F04" w14:textId="77777777">
      <w:pPr>
        <w:pStyle w:val="BodyText"/>
        <w:ind w:left="0" w:firstLine="0"/>
        <w:jc w:val="left"/>
      </w:pPr>
    </w:p>
    <w:p w:rsidRPr="00481A94" w:rsidR="00E774A7" w:rsidRDefault="00E774A7" w14:paraId="6093B71D" w14:textId="77777777">
      <w:pPr>
        <w:pStyle w:val="BodyText"/>
        <w:ind w:left="0" w:firstLine="0"/>
        <w:jc w:val="left"/>
      </w:pPr>
    </w:p>
    <w:p w:rsidRPr="00481A94" w:rsidR="00E774A7" w:rsidRDefault="00DE5F62" w14:paraId="1DE4CB7F" w14:textId="77777777">
      <w:pPr>
        <w:pStyle w:val="Heading1"/>
        <w:numPr>
          <w:ilvl w:val="0"/>
          <w:numId w:val="1"/>
        </w:numPr>
        <w:tabs>
          <w:tab w:val="left" w:pos="682"/>
        </w:tabs>
        <w:ind w:hanging="566"/>
        <w:jc w:val="both"/>
      </w:pPr>
      <w:bookmarkStart w:name="_Toc197076274" w:id="17"/>
      <w:r w:rsidRPr="00481A94">
        <w:rPr>
          <w:lang w:bidi="en-US"/>
        </w:rPr>
        <w:t xml:space="preserve">Rights and </w:t>
      </w:r>
      <w:r w:rsidRPr="00481A94">
        <w:rPr>
          <w:spacing w:val="-2"/>
          <w:lang w:bidi="en-US"/>
        </w:rPr>
        <w:t>Obligations</w:t>
      </w:r>
      <w:r w:rsidRPr="00481A94">
        <w:rPr>
          <w:lang w:bidi="en-US"/>
        </w:rPr>
        <w:t xml:space="preserve"> of the System Operator</w:t>
      </w:r>
      <w:bookmarkEnd w:id="17"/>
    </w:p>
    <w:p w:rsidRPr="00481A94" w:rsidR="00E774A7" w:rsidRDefault="00E774A7" w14:paraId="6D5F998E" w14:textId="77777777">
      <w:pPr>
        <w:pStyle w:val="BodyText"/>
        <w:ind w:left="0" w:firstLine="0"/>
        <w:jc w:val="left"/>
        <w:rPr>
          <w:b/>
        </w:rPr>
      </w:pPr>
    </w:p>
    <w:p w:rsidRPr="00481A94" w:rsidR="00E774A7" w:rsidRDefault="00DE5F62" w14:paraId="0792D54D" w14:textId="77777777">
      <w:pPr>
        <w:pStyle w:val="ListParagraph"/>
        <w:numPr>
          <w:ilvl w:val="1"/>
          <w:numId w:val="1"/>
        </w:numPr>
        <w:tabs>
          <w:tab w:val="left" w:pos="795"/>
        </w:tabs>
        <w:ind w:hanging="679"/>
        <w:jc w:val="both"/>
        <w:rPr>
          <w:sz w:val="24"/>
        </w:rPr>
      </w:pPr>
      <w:r w:rsidRPr="00481A94">
        <w:rPr>
          <w:sz w:val="24"/>
          <w:lang w:bidi="en-US"/>
        </w:rPr>
        <w:t xml:space="preserve">The System Operator shall be </w:t>
      </w:r>
      <w:r w:rsidRPr="00481A94">
        <w:rPr>
          <w:spacing w:val="-2"/>
          <w:sz w:val="24"/>
          <w:lang w:bidi="en-US"/>
        </w:rPr>
        <w:t>obliged to:</w:t>
      </w:r>
    </w:p>
    <w:p w:rsidRPr="00481A94" w:rsidR="00E774A7" w:rsidRDefault="00DE5F62" w14:paraId="270D9010" w14:textId="77777777">
      <w:pPr>
        <w:pStyle w:val="ListParagraph"/>
        <w:numPr>
          <w:ilvl w:val="2"/>
          <w:numId w:val="1"/>
        </w:numPr>
        <w:tabs>
          <w:tab w:val="left" w:pos="967"/>
        </w:tabs>
        <w:ind w:left="967" w:hanging="851"/>
        <w:jc w:val="both"/>
        <w:rPr>
          <w:sz w:val="24"/>
        </w:rPr>
      </w:pPr>
      <w:r w:rsidRPr="00481A94">
        <w:rPr>
          <w:sz w:val="24"/>
          <w:lang w:bidi="en-US"/>
        </w:rPr>
        <w:t xml:space="preserve">ensure the security of supply and system </w:t>
      </w:r>
      <w:r w:rsidRPr="00481A94">
        <w:rPr>
          <w:spacing w:val="-2"/>
          <w:sz w:val="24"/>
          <w:lang w:bidi="en-US"/>
        </w:rPr>
        <w:t>balance</w:t>
      </w:r>
      <w:r w:rsidRPr="00481A94">
        <w:rPr>
          <w:sz w:val="24"/>
          <w:lang w:bidi="en-US"/>
        </w:rPr>
        <w:t xml:space="preserve"> at all times;</w:t>
      </w:r>
    </w:p>
    <w:p w:rsidRPr="00481A94" w:rsidR="00E774A7" w:rsidRDefault="00DE5F62" w14:paraId="4E5C8C47" w14:textId="77777777">
      <w:pPr>
        <w:pStyle w:val="ListParagraph"/>
        <w:numPr>
          <w:ilvl w:val="2"/>
          <w:numId w:val="1"/>
        </w:numPr>
        <w:tabs>
          <w:tab w:val="left" w:pos="968"/>
        </w:tabs>
        <w:ind w:right="114"/>
        <w:jc w:val="both"/>
        <w:rPr>
          <w:sz w:val="24"/>
        </w:rPr>
      </w:pPr>
      <w:r w:rsidRPr="00481A94">
        <w:rPr>
          <w:sz w:val="24"/>
          <w:lang w:bidi="en-US"/>
        </w:rPr>
        <w:t>organise the clarification of balancing service offers and related information exchange with the Balancing Service Provider;</w:t>
      </w:r>
    </w:p>
    <w:p w:rsidRPr="00481A94" w:rsidR="00E774A7" w:rsidRDefault="00DE5F62" w14:paraId="4F7E7129" w14:textId="77777777">
      <w:pPr>
        <w:pStyle w:val="ListParagraph"/>
        <w:numPr>
          <w:ilvl w:val="2"/>
          <w:numId w:val="1"/>
        </w:numPr>
        <w:tabs>
          <w:tab w:val="left" w:pos="968"/>
        </w:tabs>
        <w:spacing w:before="1"/>
        <w:ind w:right="115"/>
        <w:jc w:val="both"/>
        <w:rPr>
          <w:sz w:val="24"/>
        </w:rPr>
      </w:pPr>
      <w:r w:rsidRPr="00481A94">
        <w:rPr>
          <w:sz w:val="24"/>
          <w:lang w:bidi="en-US"/>
        </w:rPr>
        <w:t>comply with the principles of a free market, equal treatment of market participants, and transparency when procuring electricity and balancing capacity and using related services for the performance of its duties;</w:t>
      </w:r>
    </w:p>
    <w:p w:rsidRPr="00481A94" w:rsidR="00E774A7" w:rsidRDefault="00DE5F62" w14:paraId="40C804EA" w14:textId="77777777">
      <w:pPr>
        <w:pStyle w:val="ListParagraph"/>
        <w:numPr>
          <w:ilvl w:val="2"/>
          <w:numId w:val="1"/>
        </w:numPr>
        <w:tabs>
          <w:tab w:val="left" w:pos="968"/>
        </w:tabs>
        <w:ind w:right="114"/>
        <w:jc w:val="both"/>
        <w:rPr>
          <w:sz w:val="24"/>
        </w:rPr>
      </w:pPr>
      <w:r w:rsidRPr="00481A94">
        <w:rPr>
          <w:sz w:val="24"/>
          <w:lang w:bidi="en-US"/>
        </w:rPr>
        <w:t>maintain, during the validity of the agreement and after its termination, the confidentiality of any information concerning the Balancing Service Provider that has become known to the System Operator in connection with the conclusion and performance of the agreement, the disclosure of which may harm the interests of the Balancing Service Provider or in respect of which the Balancing Service Provider is reasonably expected to have or may have an interest in keeping confidential;</w:t>
      </w:r>
    </w:p>
    <w:p w:rsidRPr="00481A94" w:rsidR="00E774A7" w:rsidRDefault="00DE5F62" w14:paraId="547168BD" w14:textId="77777777">
      <w:pPr>
        <w:pStyle w:val="ListParagraph"/>
        <w:numPr>
          <w:ilvl w:val="2"/>
          <w:numId w:val="1"/>
        </w:numPr>
        <w:tabs>
          <w:tab w:val="left" w:pos="967"/>
        </w:tabs>
        <w:ind w:left="967" w:hanging="851"/>
        <w:jc w:val="both"/>
        <w:rPr>
          <w:sz w:val="24"/>
        </w:rPr>
      </w:pPr>
      <w:r w:rsidRPr="00481A94">
        <w:rPr>
          <w:sz w:val="24"/>
          <w:lang w:bidi="en-US"/>
        </w:rPr>
        <w:t xml:space="preserve">make all payments stipulated in the agreement by the </w:t>
      </w:r>
      <w:r w:rsidRPr="00481A94">
        <w:rPr>
          <w:spacing w:val="-2"/>
          <w:sz w:val="24"/>
          <w:lang w:bidi="en-US"/>
        </w:rPr>
        <w:t>due date.</w:t>
      </w:r>
    </w:p>
    <w:p w:rsidRPr="00481A94" w:rsidR="00E774A7" w:rsidRDefault="00DE5F62" w14:paraId="1DCBEB6F" w14:textId="77777777">
      <w:pPr>
        <w:pStyle w:val="ListParagraph"/>
        <w:numPr>
          <w:ilvl w:val="1"/>
          <w:numId w:val="1"/>
        </w:numPr>
        <w:tabs>
          <w:tab w:val="left" w:pos="795"/>
        </w:tabs>
        <w:ind w:hanging="679"/>
        <w:jc w:val="both"/>
        <w:rPr>
          <w:sz w:val="24"/>
        </w:rPr>
      </w:pPr>
      <w:r w:rsidRPr="00481A94">
        <w:rPr>
          <w:sz w:val="24"/>
          <w:lang w:bidi="en-US"/>
        </w:rPr>
        <w:t xml:space="preserve">The System Operator shall have </w:t>
      </w:r>
      <w:r w:rsidRPr="00481A94">
        <w:rPr>
          <w:spacing w:val="-2"/>
          <w:sz w:val="24"/>
          <w:lang w:bidi="en-US"/>
        </w:rPr>
        <w:t>the right to:</w:t>
      </w:r>
    </w:p>
    <w:p w:rsidRPr="00481A94" w:rsidR="00E774A7" w:rsidRDefault="00DE5F62" w14:paraId="3313D3D2" w14:textId="77777777">
      <w:pPr>
        <w:pStyle w:val="ListParagraph"/>
        <w:numPr>
          <w:ilvl w:val="2"/>
          <w:numId w:val="1"/>
        </w:numPr>
        <w:tabs>
          <w:tab w:val="left" w:pos="967"/>
        </w:tabs>
        <w:ind w:left="967" w:hanging="851"/>
        <w:jc w:val="both"/>
        <w:rPr>
          <w:sz w:val="24"/>
        </w:rPr>
      </w:pPr>
      <w:r w:rsidRPr="00481A94">
        <w:rPr>
          <w:sz w:val="24"/>
          <w:lang w:bidi="en-US"/>
        </w:rPr>
        <w:t xml:space="preserve">activate </w:t>
      </w:r>
      <w:r w:rsidRPr="00481A94">
        <w:rPr>
          <w:spacing w:val="-2"/>
          <w:sz w:val="24"/>
          <w:lang w:bidi="en-US"/>
        </w:rPr>
        <w:t>offers;</w:t>
      </w:r>
    </w:p>
    <w:p w:rsidRPr="00481A94" w:rsidR="00E774A7" w:rsidRDefault="00DE5F62" w14:paraId="1AB1F89B" w14:textId="77777777">
      <w:pPr>
        <w:pStyle w:val="ListParagraph"/>
        <w:numPr>
          <w:ilvl w:val="2"/>
          <w:numId w:val="1"/>
        </w:numPr>
        <w:tabs>
          <w:tab w:val="left" w:pos="968"/>
        </w:tabs>
        <w:ind w:right="117"/>
        <w:jc w:val="both"/>
        <w:rPr>
          <w:sz w:val="24"/>
        </w:rPr>
      </w:pPr>
      <w:r w:rsidRPr="00481A94">
        <w:rPr>
          <w:sz w:val="24"/>
          <w:lang w:bidi="en-US"/>
        </w:rPr>
        <w:t>restrict access to the balancing energy offer for other system operators in accordance with Article 29(14) of Commission Regulation (EU) 2017/2195, where necessary to ensure the security of the system;</w:t>
      </w:r>
    </w:p>
    <w:p w:rsidRPr="00481A94" w:rsidR="00E774A7" w:rsidRDefault="00DE5F62" w14:paraId="389B1991" w14:textId="77777777">
      <w:pPr>
        <w:pStyle w:val="ListParagraph"/>
        <w:numPr>
          <w:ilvl w:val="2"/>
          <w:numId w:val="1"/>
        </w:numPr>
        <w:tabs>
          <w:tab w:val="left" w:pos="968"/>
        </w:tabs>
        <w:spacing w:before="1"/>
        <w:ind w:right="119"/>
        <w:jc w:val="both"/>
        <w:rPr>
          <w:sz w:val="24"/>
        </w:rPr>
      </w:pPr>
      <w:r w:rsidRPr="00481A94">
        <w:rPr>
          <w:sz w:val="24"/>
          <w:lang w:bidi="en-US"/>
        </w:rPr>
        <w:t xml:space="preserve">verify that the product offered by the Balancing Service Provider complies with the standard product </w:t>
      </w:r>
      <w:r w:rsidRPr="00481A94">
        <w:rPr>
          <w:spacing w:val="-2"/>
          <w:sz w:val="24"/>
          <w:lang w:bidi="en-US"/>
        </w:rPr>
        <w:t>conditions;</w:t>
      </w:r>
    </w:p>
    <w:p w:rsidRPr="00481A94" w:rsidR="00E774A7" w:rsidRDefault="00DE5F62" w14:paraId="31309F8D" w14:textId="77777777">
      <w:pPr>
        <w:pStyle w:val="ListParagraph"/>
        <w:numPr>
          <w:ilvl w:val="2"/>
          <w:numId w:val="1"/>
        </w:numPr>
        <w:tabs>
          <w:tab w:val="left" w:pos="968"/>
        </w:tabs>
        <w:ind w:right="117"/>
        <w:jc w:val="both"/>
        <w:rPr>
          <w:sz w:val="24"/>
        </w:rPr>
      </w:pPr>
      <w:r w:rsidRPr="00481A94">
        <w:rPr>
          <w:sz w:val="24"/>
          <w:lang w:bidi="en-US"/>
        </w:rPr>
        <w:t>request clarifications on offers in accordance with the obligations imposed on system operators under Article 15 of Commission Regulation (EU) 1227/2011;</w:t>
      </w:r>
    </w:p>
    <w:p w:rsidRPr="00481A94" w:rsidR="00E774A7" w:rsidRDefault="00DE5F62" w14:paraId="3165AFD4" w14:textId="77777777">
      <w:pPr>
        <w:pStyle w:val="ListParagraph"/>
        <w:numPr>
          <w:ilvl w:val="2"/>
          <w:numId w:val="1"/>
        </w:numPr>
        <w:tabs>
          <w:tab w:val="left" w:pos="968"/>
        </w:tabs>
        <w:ind w:right="115"/>
        <w:jc w:val="both"/>
        <w:rPr>
          <w:sz w:val="24"/>
        </w:rPr>
      </w:pPr>
      <w:r w:rsidRPr="00481A94">
        <w:rPr>
          <w:sz w:val="24"/>
          <w:lang w:bidi="en-US"/>
        </w:rPr>
        <w:t xml:space="preserve">disclose to third parties, including those referred to in Article 15 of Commission Regulation (EU) 1227/2011, any information obtained about the Balancing Service Provider in the course of concluding or performing the agreement, where such disclosure is necessary for the performance of this agreement or </w:t>
      </w:r>
      <w:r w:rsidRPr="00481A94">
        <w:rPr>
          <w:spacing w:val="-2"/>
          <w:sz w:val="24"/>
          <w:lang w:bidi="en-US"/>
        </w:rPr>
        <w:t>required</w:t>
      </w:r>
      <w:r w:rsidRPr="00481A94">
        <w:rPr>
          <w:sz w:val="24"/>
          <w:lang w:bidi="en-US"/>
        </w:rPr>
        <w:t xml:space="preserve"> by law, including by the said Regulation;</w:t>
      </w:r>
    </w:p>
    <w:p w:rsidRPr="00481A94" w:rsidR="00E774A7" w:rsidRDefault="00DE5F62" w14:paraId="2517160F" w14:textId="77777777">
      <w:pPr>
        <w:pStyle w:val="ListParagraph"/>
        <w:numPr>
          <w:ilvl w:val="2"/>
          <w:numId w:val="1"/>
        </w:numPr>
        <w:tabs>
          <w:tab w:val="left" w:pos="968"/>
        </w:tabs>
        <w:ind w:right="116"/>
        <w:jc w:val="both"/>
        <w:rPr>
          <w:sz w:val="24"/>
        </w:rPr>
      </w:pPr>
      <w:r w:rsidRPr="00481A94">
        <w:rPr>
          <w:sz w:val="24"/>
          <w:lang w:bidi="en-US"/>
        </w:rPr>
        <w:t>revoke the prequalified status of a reserve unit or group if it fails to meet the requirements for service provision as set out in the balancing agreement or the Standard Terms and Conditions;</w:t>
      </w:r>
    </w:p>
    <w:p w:rsidRPr="00481A94" w:rsidR="00E774A7" w:rsidRDefault="00DE5F62" w14:paraId="01B60037" w14:textId="77777777">
      <w:pPr>
        <w:pStyle w:val="ListParagraph"/>
        <w:numPr>
          <w:ilvl w:val="2"/>
          <w:numId w:val="1"/>
        </w:numPr>
        <w:tabs>
          <w:tab w:val="left" w:pos="968"/>
        </w:tabs>
        <w:ind w:right="115"/>
        <w:jc w:val="both"/>
        <w:rPr>
          <w:sz w:val="24"/>
        </w:rPr>
      </w:pPr>
      <w:r w:rsidRPr="00481A94">
        <w:rPr>
          <w:sz w:val="24"/>
          <w:lang w:bidi="en-US"/>
        </w:rPr>
        <w:t>refuse to prequalify any reserve units of the provider and/or revoke the prequalified status of previously qualified units in the event of data manipulation or intentional submission of false information;</w:t>
      </w:r>
    </w:p>
    <w:p w:rsidRPr="00481A94" w:rsidR="00E774A7" w:rsidRDefault="00DE5F62" w14:paraId="3E32EB63" w14:textId="77777777">
      <w:pPr>
        <w:pStyle w:val="ListParagraph"/>
        <w:numPr>
          <w:ilvl w:val="2"/>
          <w:numId w:val="1"/>
        </w:numPr>
        <w:tabs>
          <w:tab w:val="left" w:pos="968"/>
        </w:tabs>
        <w:ind w:right="112"/>
        <w:jc w:val="both"/>
        <w:rPr>
          <w:sz w:val="24"/>
        </w:rPr>
      </w:pPr>
      <w:r w:rsidRPr="00481A94">
        <w:rPr>
          <w:sz w:val="24"/>
          <w:lang w:bidi="en-US"/>
        </w:rPr>
        <w:t>reasonably change the IT solutions used for information exchange under the agreement, require the Balancing Service Provider to ensure readiness for such changes by the deadline set by the System Operator, and notify the Balancing Service Provider of such changes within a reasonable period.</w:t>
      </w:r>
    </w:p>
    <w:p w:rsidRPr="00481A94" w:rsidR="00E774A7" w:rsidRDefault="00E774A7" w14:paraId="427D11A7" w14:textId="77777777">
      <w:pPr>
        <w:pStyle w:val="BodyText"/>
        <w:ind w:left="0" w:firstLine="0"/>
        <w:jc w:val="left"/>
      </w:pPr>
    </w:p>
    <w:p w:rsidRPr="00481A94" w:rsidR="00E774A7" w:rsidRDefault="00E774A7" w14:paraId="531B1898" w14:textId="77777777">
      <w:pPr>
        <w:pStyle w:val="BodyText"/>
        <w:ind w:left="0" w:firstLine="0"/>
        <w:jc w:val="left"/>
      </w:pPr>
    </w:p>
    <w:p w:rsidRPr="00481A94" w:rsidR="00E774A7" w:rsidRDefault="00DE5F62" w14:paraId="518B72C2" w14:textId="77777777">
      <w:pPr>
        <w:pStyle w:val="Heading1"/>
        <w:numPr>
          <w:ilvl w:val="0"/>
          <w:numId w:val="1"/>
        </w:numPr>
        <w:tabs>
          <w:tab w:val="left" w:pos="682"/>
        </w:tabs>
        <w:spacing w:before="1"/>
        <w:ind w:hanging="566"/>
        <w:jc w:val="both"/>
      </w:pPr>
      <w:bookmarkStart w:name="_Toc197076275" w:id="18"/>
      <w:r w:rsidRPr="00481A94">
        <w:rPr>
          <w:lang w:bidi="en-US"/>
        </w:rPr>
        <w:t xml:space="preserve">Rights and </w:t>
      </w:r>
      <w:r w:rsidRPr="00481A94">
        <w:rPr>
          <w:spacing w:val="-2"/>
          <w:lang w:bidi="en-US"/>
        </w:rPr>
        <w:t>Obligations</w:t>
      </w:r>
      <w:r w:rsidRPr="00481A94">
        <w:rPr>
          <w:lang w:bidi="en-US"/>
        </w:rPr>
        <w:t xml:space="preserve"> of the Balancing Service Provider</w:t>
      </w:r>
      <w:bookmarkEnd w:id="18"/>
    </w:p>
    <w:p w:rsidRPr="00481A94" w:rsidR="00E774A7" w:rsidRDefault="00E774A7" w14:paraId="6DBE59C3" w14:textId="77777777">
      <w:pPr>
        <w:jc w:val="both"/>
        <w:sectPr w:rsidRPr="00481A94" w:rsidR="00E774A7">
          <w:pgSz w:w="11910" w:h="16840" w:orient="portrait"/>
          <w:pgMar w:top="1320" w:right="1300" w:bottom="640" w:left="1300" w:header="0" w:footer="456" w:gutter="0"/>
          <w:cols w:space="720"/>
        </w:sectPr>
      </w:pPr>
    </w:p>
    <w:p w:rsidRPr="00481A94" w:rsidR="00E774A7" w:rsidRDefault="00DE5F62" w14:paraId="3A866D26" w14:textId="77777777">
      <w:pPr>
        <w:pStyle w:val="ListParagraph"/>
        <w:numPr>
          <w:ilvl w:val="1"/>
          <w:numId w:val="1"/>
        </w:numPr>
        <w:tabs>
          <w:tab w:val="left" w:pos="795"/>
        </w:tabs>
        <w:spacing w:before="73"/>
        <w:ind w:hanging="679"/>
        <w:jc w:val="both"/>
        <w:rPr>
          <w:sz w:val="24"/>
        </w:rPr>
      </w:pPr>
      <w:r w:rsidRPr="00481A94">
        <w:rPr>
          <w:sz w:val="24"/>
          <w:lang w:bidi="en-US"/>
        </w:rPr>
        <w:lastRenderedPageBreak/>
        <w:t xml:space="preserve">The Balancing Service Provider shall be </w:t>
      </w:r>
      <w:r w:rsidRPr="00481A94">
        <w:rPr>
          <w:spacing w:val="-2"/>
          <w:sz w:val="24"/>
          <w:lang w:bidi="en-US"/>
        </w:rPr>
        <w:t>obliged to:</w:t>
      </w:r>
    </w:p>
    <w:p w:rsidRPr="00481A94" w:rsidR="00E774A7" w:rsidRDefault="00DE5F62" w14:paraId="52162671" w14:textId="77777777">
      <w:pPr>
        <w:pStyle w:val="ListParagraph"/>
        <w:numPr>
          <w:ilvl w:val="2"/>
          <w:numId w:val="1"/>
        </w:numPr>
        <w:tabs>
          <w:tab w:val="left" w:pos="968"/>
        </w:tabs>
        <w:ind w:right="116"/>
        <w:jc w:val="both"/>
        <w:rPr>
          <w:sz w:val="24"/>
        </w:rPr>
      </w:pPr>
      <w:r w:rsidRPr="00481A94">
        <w:rPr>
          <w:sz w:val="24"/>
          <w:lang w:bidi="en-US"/>
        </w:rPr>
        <w:t xml:space="preserve">ensure that it holds the necessary consents from all its controllable customers for the </w:t>
      </w:r>
      <w:r w:rsidRPr="00481A94">
        <w:rPr>
          <w:spacing w:val="-2"/>
          <w:sz w:val="24"/>
          <w:lang w:bidi="en-US"/>
        </w:rPr>
        <w:t>performance</w:t>
      </w:r>
      <w:r w:rsidRPr="00481A94">
        <w:rPr>
          <w:sz w:val="24"/>
          <w:lang w:bidi="en-US"/>
        </w:rPr>
        <w:t xml:space="preserve"> of the Agreement;</w:t>
      </w:r>
    </w:p>
    <w:p w:rsidRPr="00481A94" w:rsidR="00E774A7" w:rsidRDefault="00DE5F62" w14:paraId="36CD9C83" w14:textId="77777777">
      <w:pPr>
        <w:pStyle w:val="ListParagraph"/>
        <w:numPr>
          <w:ilvl w:val="2"/>
          <w:numId w:val="1"/>
        </w:numPr>
        <w:tabs>
          <w:tab w:val="left" w:pos="968"/>
        </w:tabs>
        <w:ind w:right="115"/>
        <w:jc w:val="both"/>
        <w:rPr>
          <w:sz w:val="24"/>
        </w:rPr>
      </w:pPr>
      <w:r w:rsidRPr="00481A94">
        <w:rPr>
          <w:sz w:val="24"/>
          <w:lang w:bidi="en-US"/>
        </w:rPr>
        <w:t xml:space="preserve">respond to the System Operator’s requests regarding the balancing service or related offers within a reasonable period. A period of five (5) working days shall be deemed reasonable. If this deadline is exceeded, the System Operator shall have the right to suspend the prequalified </w:t>
      </w:r>
      <w:r w:rsidRPr="00481A94">
        <w:rPr>
          <w:spacing w:val="-2"/>
          <w:sz w:val="24"/>
          <w:lang w:bidi="en-US"/>
        </w:rPr>
        <w:t>status</w:t>
      </w:r>
      <w:r w:rsidRPr="00481A94">
        <w:rPr>
          <w:sz w:val="24"/>
          <w:lang w:bidi="en-US"/>
        </w:rPr>
        <w:t xml:space="preserve"> of the reserve unit(s).</w:t>
      </w:r>
    </w:p>
    <w:p w:rsidRPr="00481A94" w:rsidR="00E774A7" w:rsidRDefault="00DE5F62" w14:paraId="08FA10CE" w14:textId="77777777">
      <w:pPr>
        <w:pStyle w:val="ListParagraph"/>
        <w:numPr>
          <w:ilvl w:val="1"/>
          <w:numId w:val="1"/>
        </w:numPr>
        <w:tabs>
          <w:tab w:val="left" w:pos="795"/>
        </w:tabs>
        <w:ind w:hanging="679"/>
        <w:jc w:val="both"/>
        <w:rPr>
          <w:sz w:val="24"/>
        </w:rPr>
      </w:pPr>
      <w:r w:rsidRPr="00481A94">
        <w:rPr>
          <w:sz w:val="24"/>
          <w:lang w:bidi="en-US"/>
        </w:rPr>
        <w:t xml:space="preserve">The Balancing Service Provider shall have </w:t>
      </w:r>
      <w:r w:rsidRPr="00481A94">
        <w:rPr>
          <w:spacing w:val="-2"/>
          <w:sz w:val="24"/>
          <w:lang w:bidi="en-US"/>
        </w:rPr>
        <w:t>the right to:</w:t>
      </w:r>
    </w:p>
    <w:p w:rsidRPr="00481A94" w:rsidR="00E774A7" w:rsidRDefault="00DE5F62" w14:paraId="7C635FB0" w14:textId="77777777">
      <w:pPr>
        <w:pStyle w:val="ListParagraph"/>
        <w:numPr>
          <w:ilvl w:val="2"/>
          <w:numId w:val="1"/>
        </w:numPr>
        <w:tabs>
          <w:tab w:val="left" w:pos="968"/>
        </w:tabs>
        <w:ind w:right="121"/>
        <w:jc w:val="both"/>
        <w:rPr>
          <w:sz w:val="24"/>
        </w:rPr>
      </w:pPr>
      <w:r w:rsidRPr="00481A94">
        <w:rPr>
          <w:sz w:val="24"/>
          <w:lang w:bidi="en-US"/>
        </w:rPr>
        <w:t>contest the activation report provided by the System Operator within two (2) working days from its submission;</w:t>
      </w:r>
    </w:p>
    <w:p w:rsidRPr="00481A94" w:rsidR="00E774A7" w:rsidRDefault="00DE5F62" w14:paraId="0B5ACD44" w14:textId="77777777">
      <w:pPr>
        <w:pStyle w:val="ListParagraph"/>
        <w:numPr>
          <w:ilvl w:val="2"/>
          <w:numId w:val="1"/>
        </w:numPr>
        <w:tabs>
          <w:tab w:val="left" w:pos="968"/>
        </w:tabs>
        <w:ind w:right="115"/>
        <w:jc w:val="both"/>
        <w:rPr>
          <w:sz w:val="24"/>
        </w:rPr>
      </w:pPr>
      <w:r w:rsidRPr="00481A94">
        <w:rPr>
          <w:sz w:val="24"/>
          <w:lang w:bidi="en-US"/>
        </w:rPr>
        <w:t xml:space="preserve">request the cancellation or reduction of an offer after the closing time for offer submission only due to a technical reason, and must immediately inform the System Operator in accordance with Section </w:t>
      </w:r>
      <w:hyperlink w:history="1" w:anchor="_bookmark7">
        <w:r w:rsidRPr="00481A94">
          <w:rPr>
            <w:sz w:val="24"/>
            <w:lang w:bidi="en-US"/>
          </w:rPr>
          <w:t>5.7</w:t>
        </w:r>
      </w:hyperlink>
      <w:r w:rsidRPr="00481A94">
        <w:rPr>
          <w:sz w:val="24"/>
          <w:lang w:bidi="en-US"/>
        </w:rPr>
        <w:t>.</w:t>
      </w:r>
    </w:p>
    <w:p w:rsidRPr="00481A94" w:rsidR="00E774A7" w:rsidRDefault="00E774A7" w14:paraId="35815397" w14:textId="77777777">
      <w:pPr>
        <w:pStyle w:val="BodyText"/>
        <w:ind w:left="0" w:firstLine="0"/>
        <w:jc w:val="left"/>
      </w:pPr>
    </w:p>
    <w:p w:rsidRPr="00481A94" w:rsidR="00E774A7" w:rsidRDefault="00E774A7" w14:paraId="3D708FF0" w14:textId="77777777">
      <w:pPr>
        <w:pStyle w:val="BodyText"/>
        <w:spacing w:before="1"/>
        <w:ind w:left="0" w:firstLine="0"/>
        <w:jc w:val="left"/>
      </w:pPr>
    </w:p>
    <w:p w:rsidRPr="00481A94" w:rsidR="00E774A7" w:rsidRDefault="00DE5F62" w14:paraId="224EB9FD" w14:textId="77777777">
      <w:pPr>
        <w:pStyle w:val="Heading1"/>
        <w:numPr>
          <w:ilvl w:val="0"/>
          <w:numId w:val="1"/>
        </w:numPr>
        <w:tabs>
          <w:tab w:val="left" w:pos="682"/>
        </w:tabs>
        <w:ind w:hanging="566"/>
        <w:jc w:val="both"/>
      </w:pPr>
      <w:bookmarkStart w:name="_Toc197076276" w:id="19"/>
      <w:r w:rsidRPr="00481A94">
        <w:rPr>
          <w:spacing w:val="-2"/>
          <w:lang w:bidi="en-US"/>
        </w:rPr>
        <w:t>Compensation</w:t>
      </w:r>
      <w:r w:rsidRPr="00481A94">
        <w:rPr>
          <w:lang w:bidi="en-US"/>
        </w:rPr>
        <w:t xml:space="preserve"> for Damages</w:t>
      </w:r>
      <w:bookmarkEnd w:id="19"/>
    </w:p>
    <w:p w:rsidRPr="00481A94" w:rsidR="00E774A7" w:rsidRDefault="00E774A7" w14:paraId="4141E38B" w14:textId="77777777">
      <w:pPr>
        <w:pStyle w:val="BodyText"/>
        <w:ind w:left="0" w:firstLine="0"/>
        <w:jc w:val="left"/>
        <w:rPr>
          <w:b/>
        </w:rPr>
      </w:pPr>
    </w:p>
    <w:p w:rsidRPr="00481A94" w:rsidR="00E774A7" w:rsidRDefault="00DE5F62" w14:paraId="17C33406" w14:textId="77777777">
      <w:pPr>
        <w:pStyle w:val="ListParagraph"/>
        <w:numPr>
          <w:ilvl w:val="1"/>
          <w:numId w:val="1"/>
        </w:numPr>
        <w:tabs>
          <w:tab w:val="left" w:pos="795"/>
        </w:tabs>
        <w:ind w:right="116"/>
        <w:jc w:val="both"/>
        <w:rPr>
          <w:sz w:val="24"/>
        </w:rPr>
      </w:pPr>
      <w:r w:rsidRPr="00481A94">
        <w:rPr>
          <w:sz w:val="24"/>
          <w:lang w:bidi="en-US"/>
        </w:rPr>
        <w:t>A Party shall compensate the other Party for direct material damage caused by failure to perform or improper performance of the obligations set out in the agreement, in the cases and pursuant to the procedure provided in the agreement.</w:t>
      </w:r>
    </w:p>
    <w:p w:rsidRPr="00481A94" w:rsidR="00E774A7" w:rsidRDefault="00DE5F62" w14:paraId="36AF8C91" w14:textId="77777777">
      <w:pPr>
        <w:pStyle w:val="ListParagraph"/>
        <w:numPr>
          <w:ilvl w:val="1"/>
          <w:numId w:val="1"/>
        </w:numPr>
        <w:tabs>
          <w:tab w:val="left" w:pos="795"/>
        </w:tabs>
        <w:ind w:right="119"/>
        <w:jc w:val="both"/>
        <w:rPr>
          <w:sz w:val="24"/>
        </w:rPr>
      </w:pPr>
      <w:bookmarkStart w:name="_bookmark20" w:id="20"/>
      <w:bookmarkEnd w:id="20"/>
      <w:r w:rsidRPr="00481A94">
        <w:rPr>
          <w:sz w:val="24"/>
          <w:lang w:bidi="en-US"/>
        </w:rPr>
        <w:t>A Party shall notify the other Party of the damage within a reasonable time after becoming aware of it, indicating the estimated amount of damage and the grounds for the compensation claim, including documents substantiating the existence and amount of the damage.</w:t>
      </w:r>
    </w:p>
    <w:p w:rsidRPr="00481A94" w:rsidR="00E774A7" w:rsidRDefault="00DE5F62" w14:paraId="07B06DF9" w14:textId="77777777">
      <w:pPr>
        <w:pStyle w:val="ListParagraph"/>
        <w:numPr>
          <w:ilvl w:val="1"/>
          <w:numId w:val="1"/>
        </w:numPr>
        <w:tabs>
          <w:tab w:val="left" w:pos="795"/>
        </w:tabs>
        <w:ind w:right="115"/>
        <w:jc w:val="both"/>
        <w:rPr>
          <w:sz w:val="24"/>
        </w:rPr>
      </w:pPr>
      <w:r w:rsidRPr="00481A94">
        <w:rPr>
          <w:sz w:val="24"/>
          <w:lang w:bidi="en-US"/>
        </w:rPr>
        <w:t xml:space="preserve">The Party shall review the damage claim submitted by the other Party and shall either compensate the claimed damage within thirty (30) days of receiving the claim and the documents referred to in Section </w:t>
      </w:r>
      <w:hyperlink w:history="1" w:anchor="_bookmark20">
        <w:r w:rsidRPr="00481A94">
          <w:rPr>
            <w:sz w:val="24"/>
            <w:lang w:bidi="en-US"/>
          </w:rPr>
          <w:t>13.2</w:t>
        </w:r>
      </w:hyperlink>
      <w:r w:rsidRPr="00481A94">
        <w:rPr>
          <w:sz w:val="24"/>
          <w:lang w:bidi="en-US"/>
        </w:rPr>
        <w:t>, or, if the claim is not recognised, shall submit its reasoned objections in writing within the same deadline.</w:t>
      </w:r>
    </w:p>
    <w:p w:rsidRPr="00481A94" w:rsidR="00E774A7" w:rsidRDefault="00E774A7" w14:paraId="16778E06" w14:textId="77777777">
      <w:pPr>
        <w:pStyle w:val="BodyText"/>
        <w:ind w:left="0" w:firstLine="0"/>
        <w:jc w:val="left"/>
      </w:pPr>
    </w:p>
    <w:p w:rsidRPr="00481A94" w:rsidR="00E774A7" w:rsidRDefault="00DE5F62" w14:paraId="0390483C" w14:textId="77777777">
      <w:pPr>
        <w:pStyle w:val="Heading1"/>
        <w:numPr>
          <w:ilvl w:val="0"/>
          <w:numId w:val="1"/>
        </w:numPr>
        <w:tabs>
          <w:tab w:val="left" w:pos="682"/>
        </w:tabs>
        <w:ind w:hanging="566"/>
        <w:jc w:val="both"/>
      </w:pPr>
      <w:bookmarkStart w:name="_Toc197076277" w:id="21"/>
      <w:r w:rsidRPr="00481A94">
        <w:rPr>
          <w:spacing w:val="-2"/>
          <w:lang w:bidi="en-US"/>
        </w:rPr>
        <w:t>Confidentiality</w:t>
      </w:r>
      <w:bookmarkEnd w:id="21"/>
    </w:p>
    <w:p w:rsidRPr="00481A94" w:rsidR="00E774A7" w:rsidRDefault="00E774A7" w14:paraId="512FE749" w14:textId="77777777">
      <w:pPr>
        <w:pStyle w:val="BodyText"/>
        <w:ind w:left="0" w:firstLine="0"/>
        <w:jc w:val="left"/>
        <w:rPr>
          <w:b/>
        </w:rPr>
      </w:pPr>
    </w:p>
    <w:p w:rsidRPr="00481A94" w:rsidR="00E774A7" w:rsidRDefault="00DE5F62" w14:paraId="35C8ABEB" w14:textId="77777777">
      <w:pPr>
        <w:pStyle w:val="ListParagraph"/>
        <w:numPr>
          <w:ilvl w:val="1"/>
          <w:numId w:val="1"/>
        </w:numPr>
        <w:tabs>
          <w:tab w:val="left" w:pos="795"/>
        </w:tabs>
        <w:spacing w:before="1"/>
        <w:ind w:right="117"/>
        <w:jc w:val="both"/>
        <w:rPr>
          <w:sz w:val="24"/>
        </w:rPr>
      </w:pPr>
      <w:r w:rsidRPr="00481A94">
        <w:rPr>
          <w:sz w:val="24"/>
          <w:lang w:bidi="en-US"/>
        </w:rPr>
        <w:t>During the validity of the Agreement and after its termination for an indefinite period, the Parties shall be obligated to maintain the confidentiality of all information that becomes known to them in connection with the performance of the Agreement. In particular, but not limited to, the Parties shall treat as confidential any information made available to the other Party in connection with the submission of balancing market offers and the performance of this Agreement. In addition to the foregoing, any other information that the Parties are reasonably expected to have an interest in keeping confidential shall also be treated as confidential.</w:t>
      </w:r>
    </w:p>
    <w:p w:rsidRPr="00481A94" w:rsidR="00E774A7" w:rsidRDefault="00DE5F62" w14:paraId="6E782C63" w14:textId="77777777">
      <w:pPr>
        <w:pStyle w:val="ListParagraph"/>
        <w:numPr>
          <w:ilvl w:val="1"/>
          <w:numId w:val="1"/>
        </w:numPr>
        <w:tabs>
          <w:tab w:val="left" w:pos="795"/>
        </w:tabs>
        <w:ind w:right="116"/>
        <w:jc w:val="both"/>
        <w:rPr>
          <w:sz w:val="24"/>
        </w:rPr>
      </w:pPr>
      <w:r w:rsidRPr="00481A94">
        <w:rPr>
          <w:sz w:val="24"/>
          <w:lang w:bidi="en-US"/>
        </w:rPr>
        <w:t>Disclosure of confidential information to third parties is permitted only with the prior consent of the Party concerned, given in a reproducible written form, except to the third parties referred to in Section 11.2.5 of the Agreement. The confidentiality obligation under the agreement does not extend to the disclosure of information to the Parties’ auditors, legal advisers, banks, supervisory authorities, or in cases where disclosure is required by law. The Parties acknowledge that the Agreement is public to the extent provided by the Public Information Act.</w:t>
      </w:r>
    </w:p>
    <w:p w:rsidRPr="00481A94" w:rsidR="00E774A7" w:rsidRDefault="00DE5F62" w14:paraId="134BBFE3" w14:textId="77777777">
      <w:pPr>
        <w:pStyle w:val="ListParagraph"/>
        <w:numPr>
          <w:ilvl w:val="1"/>
          <w:numId w:val="1"/>
        </w:numPr>
        <w:tabs>
          <w:tab w:val="left" w:pos="795"/>
        </w:tabs>
        <w:ind w:right="119"/>
        <w:jc w:val="both"/>
        <w:rPr>
          <w:sz w:val="24"/>
        </w:rPr>
      </w:pPr>
      <w:r w:rsidRPr="00481A94">
        <w:rPr>
          <w:sz w:val="24"/>
          <w:lang w:bidi="en-US"/>
        </w:rPr>
        <w:t>The Parties undertake to implement adequate organisational, physical and IT security measures to protect confidential information against accidental or unauthorised alteration, destruction, disclosure or other misuse.</w:t>
      </w:r>
    </w:p>
    <w:p w:rsidRPr="00481A94" w:rsidR="00E774A7" w:rsidRDefault="00E774A7" w14:paraId="5C0D2CEC" w14:textId="77777777">
      <w:pPr>
        <w:jc w:val="both"/>
        <w:rPr>
          <w:sz w:val="24"/>
        </w:rPr>
        <w:sectPr w:rsidRPr="00481A94" w:rsidR="00E774A7">
          <w:pgSz w:w="11910" w:h="16840" w:orient="portrait"/>
          <w:pgMar w:top="1600" w:right="1300" w:bottom="640" w:left="1300" w:header="0" w:footer="456" w:gutter="0"/>
          <w:cols w:space="720"/>
        </w:sectPr>
      </w:pPr>
    </w:p>
    <w:p w:rsidRPr="00481A94" w:rsidR="00E774A7" w:rsidRDefault="00DE5F62" w14:paraId="00814230" w14:textId="77777777">
      <w:pPr>
        <w:pStyle w:val="ListParagraph"/>
        <w:numPr>
          <w:ilvl w:val="1"/>
          <w:numId w:val="1"/>
        </w:numPr>
        <w:tabs>
          <w:tab w:val="left" w:pos="795"/>
        </w:tabs>
        <w:spacing w:before="76"/>
        <w:ind w:right="119"/>
        <w:jc w:val="both"/>
        <w:rPr>
          <w:sz w:val="24"/>
        </w:rPr>
      </w:pPr>
      <w:r w:rsidRPr="00481A94">
        <w:rPr>
          <w:sz w:val="24"/>
          <w:lang w:bidi="en-US"/>
        </w:rPr>
        <w:lastRenderedPageBreak/>
        <w:t>The Parties shall use confidential information solely for the purpose of performing the Agreement. In particular, it is prohibited to use such information for the benefit of oneself or any third party in any way that falls outside the scope of the Agreement.</w:t>
      </w:r>
    </w:p>
    <w:p w:rsidRPr="00481A94" w:rsidR="00E774A7" w:rsidRDefault="00DE5F62" w14:paraId="79D4E6DA" w14:textId="77777777">
      <w:pPr>
        <w:pStyle w:val="ListParagraph"/>
        <w:numPr>
          <w:ilvl w:val="1"/>
          <w:numId w:val="1"/>
        </w:numPr>
        <w:tabs>
          <w:tab w:val="left" w:pos="795"/>
        </w:tabs>
        <w:spacing w:before="1"/>
        <w:ind w:right="118"/>
        <w:jc w:val="both"/>
        <w:rPr>
          <w:sz w:val="24"/>
        </w:rPr>
      </w:pPr>
      <w:r w:rsidRPr="00481A94">
        <w:rPr>
          <w:sz w:val="24"/>
          <w:lang w:bidi="en-US"/>
        </w:rPr>
        <w:t>The Parties shall ensure that their representatives, employees, contractual partners and any other persons engaged in the performance of their obligations are aware of the confidentiality obligations set out in this agreement and shall require such persons to comply fully and unconditionally with these obligations for an unlimited period.</w:t>
      </w:r>
    </w:p>
    <w:p w:rsidRPr="00481A94" w:rsidR="00E774A7" w:rsidRDefault="00DE5F62" w14:paraId="77A93AF8" w14:textId="77777777">
      <w:pPr>
        <w:pStyle w:val="ListParagraph"/>
        <w:numPr>
          <w:ilvl w:val="1"/>
          <w:numId w:val="1"/>
        </w:numPr>
        <w:tabs>
          <w:tab w:val="left" w:pos="795"/>
        </w:tabs>
        <w:ind w:hanging="679"/>
        <w:jc w:val="both"/>
        <w:rPr>
          <w:sz w:val="24"/>
        </w:rPr>
      </w:pPr>
      <w:r w:rsidRPr="00481A94">
        <w:rPr>
          <w:sz w:val="24"/>
          <w:lang w:bidi="en-US"/>
        </w:rPr>
        <w:t xml:space="preserve">The confidentiality obligation shall be </w:t>
      </w:r>
      <w:r w:rsidRPr="00481A94">
        <w:rPr>
          <w:spacing w:val="-2"/>
          <w:sz w:val="24"/>
          <w:lang w:bidi="en-US"/>
        </w:rPr>
        <w:t>indefinite</w:t>
      </w:r>
      <w:r w:rsidRPr="00481A94">
        <w:rPr>
          <w:sz w:val="24"/>
          <w:lang w:bidi="en-US"/>
        </w:rPr>
        <w:t xml:space="preserve"> in duration.</w:t>
      </w:r>
    </w:p>
    <w:p w:rsidRPr="00481A94" w:rsidR="00E774A7" w:rsidRDefault="00E774A7" w14:paraId="3248388D" w14:textId="77777777">
      <w:pPr>
        <w:pStyle w:val="BodyText"/>
        <w:ind w:left="0" w:firstLine="0"/>
        <w:jc w:val="left"/>
      </w:pPr>
    </w:p>
    <w:p w:rsidRPr="00481A94" w:rsidR="00E774A7" w:rsidRDefault="00E774A7" w14:paraId="17AE47D3" w14:textId="77777777">
      <w:pPr>
        <w:pStyle w:val="BodyText"/>
        <w:ind w:left="0" w:firstLine="0"/>
        <w:jc w:val="left"/>
      </w:pPr>
    </w:p>
    <w:p w:rsidRPr="00481A94" w:rsidR="00E774A7" w:rsidRDefault="00E774A7" w14:paraId="140631E3" w14:textId="77777777">
      <w:pPr>
        <w:pStyle w:val="BodyText"/>
        <w:ind w:left="0" w:firstLine="0"/>
        <w:jc w:val="left"/>
      </w:pPr>
    </w:p>
    <w:p w:rsidRPr="00481A94" w:rsidR="00E774A7" w:rsidRDefault="00DE5F62" w14:paraId="4CB488D6" w14:textId="77777777">
      <w:pPr>
        <w:pStyle w:val="Heading1"/>
        <w:numPr>
          <w:ilvl w:val="0"/>
          <w:numId w:val="1"/>
        </w:numPr>
        <w:tabs>
          <w:tab w:val="left" w:pos="682"/>
        </w:tabs>
        <w:ind w:hanging="566"/>
        <w:jc w:val="both"/>
      </w:pPr>
      <w:bookmarkStart w:name="_Toc197076278" w:id="22"/>
      <w:r w:rsidRPr="00481A94">
        <w:rPr>
          <w:lang w:bidi="en-US"/>
        </w:rPr>
        <w:t xml:space="preserve">Amendment and </w:t>
      </w:r>
      <w:r w:rsidRPr="00481A94">
        <w:rPr>
          <w:spacing w:val="-2"/>
          <w:lang w:bidi="en-US"/>
        </w:rPr>
        <w:t>Cancellation</w:t>
      </w:r>
      <w:r w:rsidRPr="00481A94">
        <w:rPr>
          <w:lang w:bidi="en-US"/>
        </w:rPr>
        <w:t xml:space="preserve"> of the Agreement</w:t>
      </w:r>
      <w:bookmarkEnd w:id="22"/>
    </w:p>
    <w:p w:rsidRPr="00481A94" w:rsidR="00E774A7" w:rsidRDefault="00E774A7" w14:paraId="44F25C7F" w14:textId="77777777">
      <w:pPr>
        <w:pStyle w:val="BodyText"/>
        <w:ind w:left="0" w:firstLine="0"/>
        <w:jc w:val="left"/>
        <w:rPr>
          <w:b/>
        </w:rPr>
      </w:pPr>
    </w:p>
    <w:p w:rsidRPr="00481A94" w:rsidR="00E774A7" w:rsidRDefault="00DE5F62" w14:paraId="20D35D6A" w14:textId="77777777">
      <w:pPr>
        <w:pStyle w:val="ListParagraph"/>
        <w:numPr>
          <w:ilvl w:val="1"/>
          <w:numId w:val="1"/>
        </w:numPr>
        <w:tabs>
          <w:tab w:val="left" w:pos="795"/>
        </w:tabs>
        <w:ind w:right="115"/>
        <w:jc w:val="both"/>
        <w:rPr>
          <w:sz w:val="24"/>
        </w:rPr>
      </w:pPr>
      <w:r w:rsidRPr="00481A94">
        <w:rPr>
          <w:sz w:val="24"/>
          <w:lang w:bidi="en-US"/>
        </w:rPr>
        <w:t>The Agreement may be amended by written agreement of the Parties or on other grounds provided in the Agreement or in legislation. The System Operator shall have the right to unilaterally amend the Standard Terms and Conditions and the standard product conditions in accordance with the procedure established by law for unilateral amendments to standard terms.</w:t>
      </w:r>
    </w:p>
    <w:p w:rsidRPr="00481A94" w:rsidR="00E774A7" w:rsidRDefault="00DE5F62" w14:paraId="67B366D9" w14:textId="77777777">
      <w:pPr>
        <w:pStyle w:val="ListParagraph"/>
        <w:numPr>
          <w:ilvl w:val="1"/>
          <w:numId w:val="1"/>
        </w:numPr>
        <w:tabs>
          <w:tab w:val="left" w:pos="795"/>
        </w:tabs>
        <w:spacing w:before="1"/>
        <w:ind w:right="115"/>
        <w:jc w:val="both"/>
        <w:rPr>
          <w:sz w:val="24"/>
        </w:rPr>
      </w:pPr>
      <w:r w:rsidRPr="00481A94">
        <w:rPr>
          <w:sz w:val="24"/>
          <w:lang w:bidi="en-US"/>
        </w:rPr>
        <w:t>The System Operator shall notify the Balancing Service Provider of any changes to the Standard Terms and Conditions and the standard product conditions in writing. The updated Standard Terms and Conditions shall be published on the System Operator’s website. Upon request of the Balancing Service Provider, the System Operator shall provide explanations regarding the changes.</w:t>
      </w:r>
    </w:p>
    <w:p w:rsidRPr="00481A94" w:rsidR="00E774A7" w:rsidRDefault="00DE5F62" w14:paraId="687D8DA3" w14:textId="77777777">
      <w:pPr>
        <w:pStyle w:val="ListParagraph"/>
        <w:numPr>
          <w:ilvl w:val="1"/>
          <w:numId w:val="1"/>
        </w:numPr>
        <w:tabs>
          <w:tab w:val="left" w:pos="795"/>
        </w:tabs>
        <w:ind w:right="116"/>
        <w:jc w:val="both"/>
        <w:rPr>
          <w:sz w:val="24"/>
        </w:rPr>
      </w:pPr>
      <w:r w:rsidRPr="00481A94">
        <w:rPr>
          <w:sz w:val="24"/>
          <w:lang w:bidi="en-US"/>
        </w:rPr>
        <w:t xml:space="preserve">The Standard Terms and Conditions and the standard product conditions of the System Operator valid at any given time shall form an integral part of the Agreement, including all existing and future annexes, parts, amendments and supplements, regardless of whether they have been appended to the </w:t>
      </w:r>
      <w:r w:rsidRPr="00481A94">
        <w:rPr>
          <w:spacing w:val="-2"/>
          <w:sz w:val="24"/>
          <w:lang w:bidi="en-US"/>
        </w:rPr>
        <w:t>Agreement.</w:t>
      </w:r>
    </w:p>
    <w:p w:rsidRPr="00481A94" w:rsidR="00E774A7" w:rsidRDefault="00DE5F62" w14:paraId="33AF9B41" w14:textId="77777777">
      <w:pPr>
        <w:pStyle w:val="ListParagraph"/>
        <w:numPr>
          <w:ilvl w:val="1"/>
          <w:numId w:val="1"/>
        </w:numPr>
        <w:tabs>
          <w:tab w:val="left" w:pos="795"/>
        </w:tabs>
        <w:ind w:right="117"/>
        <w:jc w:val="both"/>
        <w:rPr>
          <w:sz w:val="24"/>
        </w:rPr>
      </w:pPr>
      <w:r w:rsidRPr="00481A94">
        <w:rPr>
          <w:sz w:val="24"/>
          <w:lang w:bidi="en-US"/>
        </w:rPr>
        <w:t>A Party shall have the right to cancel the Agreement if the other Party has materially breached its obligations under the Agreement and has not remedied the breach within a reasonable period granted for that purpose. In such a case, the Party cancelling the Agreement must notify the other Party of its intention to cancel the Agreement in writing at least thirty (30) days in advance.</w:t>
      </w:r>
    </w:p>
    <w:p w:rsidRPr="00481A94" w:rsidR="00E774A7" w:rsidRDefault="00DE5F62" w14:paraId="72E3DBCF" w14:textId="77777777">
      <w:pPr>
        <w:pStyle w:val="ListParagraph"/>
        <w:numPr>
          <w:ilvl w:val="1"/>
          <w:numId w:val="1"/>
        </w:numPr>
        <w:tabs>
          <w:tab w:val="left" w:pos="795"/>
        </w:tabs>
        <w:spacing w:before="1"/>
        <w:ind w:right="121"/>
        <w:jc w:val="both"/>
        <w:rPr>
          <w:sz w:val="24"/>
        </w:rPr>
      </w:pPr>
      <w:r w:rsidRPr="00481A94">
        <w:rPr>
          <w:sz w:val="24"/>
          <w:lang w:bidi="en-US"/>
        </w:rPr>
        <w:t>The Balancing Service Provider shall have the right to cancel the Agreement at any time by giving the System Operator at least thirty (30) days’ prior written notice.</w:t>
      </w:r>
    </w:p>
    <w:p w:rsidRPr="00481A94" w:rsidR="00E774A7" w:rsidRDefault="00DE5F62" w14:paraId="2A74942E" w14:textId="77777777">
      <w:pPr>
        <w:pStyle w:val="ListParagraph"/>
        <w:numPr>
          <w:ilvl w:val="1"/>
          <w:numId w:val="1"/>
        </w:numPr>
        <w:tabs>
          <w:tab w:val="left" w:pos="795"/>
        </w:tabs>
        <w:ind w:hanging="679"/>
        <w:jc w:val="both"/>
        <w:rPr>
          <w:sz w:val="24"/>
        </w:rPr>
      </w:pPr>
      <w:r w:rsidRPr="00481A94">
        <w:rPr>
          <w:sz w:val="24"/>
          <w:lang w:bidi="en-US"/>
        </w:rPr>
        <w:t xml:space="preserve">The Agreement may only be cancelled by a Party </w:t>
      </w:r>
      <w:r w:rsidRPr="00481A94">
        <w:rPr>
          <w:spacing w:val="-2"/>
          <w:sz w:val="24"/>
          <w:lang w:bidi="en-US"/>
        </w:rPr>
        <w:t>with effect from the end</w:t>
      </w:r>
      <w:r w:rsidRPr="00481A94">
        <w:rPr>
          <w:sz w:val="24"/>
          <w:lang w:bidi="en-US"/>
        </w:rPr>
        <w:t xml:space="preserve"> of a calendar month.</w:t>
      </w:r>
    </w:p>
    <w:p w:rsidRPr="00481A94" w:rsidR="00E774A7" w:rsidRDefault="00DE5F62" w14:paraId="5565657A" w14:textId="77777777">
      <w:pPr>
        <w:pStyle w:val="ListParagraph"/>
        <w:numPr>
          <w:ilvl w:val="1"/>
          <w:numId w:val="1"/>
        </w:numPr>
        <w:tabs>
          <w:tab w:val="left" w:pos="795"/>
        </w:tabs>
        <w:ind w:right="115"/>
        <w:jc w:val="both"/>
        <w:rPr>
          <w:sz w:val="24"/>
        </w:rPr>
      </w:pPr>
      <w:r w:rsidRPr="00481A94">
        <w:rPr>
          <w:sz w:val="24"/>
          <w:lang w:bidi="en-US"/>
        </w:rPr>
        <w:t>Upon termination of the Agreement for any reason, including invalidity, the provisions of the Agreement that by their nature establish the rights and obligations of the Parties after the termination shall continue to apply. The foregoing shall apply in particular to provisions governing the resolution of disputes between the Parties, the interpretation of the provisions of the Agreement, confidentiality, as well as the liability of the Parties and compensation for damages. In addition, all obligations that have arisen by the time of termination must be fulfilled, including any payments that have become due or that fall due after the termination of the Agreement as a result of an event occurring during its validity, in accordance with the Agreement.</w:t>
      </w:r>
    </w:p>
    <w:p w:rsidRPr="00481A94" w:rsidR="00E774A7" w:rsidRDefault="00E774A7" w14:paraId="2DF2DF13" w14:textId="77777777">
      <w:pPr>
        <w:pStyle w:val="BodyText"/>
        <w:ind w:left="0" w:firstLine="0"/>
        <w:jc w:val="left"/>
      </w:pPr>
    </w:p>
    <w:p w:rsidRPr="00481A94" w:rsidR="00E774A7" w:rsidRDefault="00E774A7" w14:paraId="5964A901" w14:textId="77777777">
      <w:pPr>
        <w:pStyle w:val="BodyText"/>
        <w:ind w:left="0" w:firstLine="0"/>
        <w:jc w:val="left"/>
      </w:pPr>
    </w:p>
    <w:p w:rsidRPr="00481A94" w:rsidR="00E774A7" w:rsidRDefault="00DE5F62" w14:paraId="05B461AF" w14:textId="77777777">
      <w:pPr>
        <w:pStyle w:val="Heading1"/>
        <w:numPr>
          <w:ilvl w:val="0"/>
          <w:numId w:val="1"/>
        </w:numPr>
        <w:tabs>
          <w:tab w:val="left" w:pos="682"/>
        </w:tabs>
        <w:ind w:hanging="566"/>
        <w:jc w:val="both"/>
      </w:pPr>
      <w:bookmarkStart w:name="_Toc197076279" w:id="23"/>
      <w:r w:rsidRPr="00481A94">
        <w:rPr>
          <w:spacing w:val="-2"/>
          <w:lang w:bidi="en-US"/>
        </w:rPr>
        <w:t>Declarations of Intent</w:t>
      </w:r>
      <w:bookmarkEnd w:id="23"/>
    </w:p>
    <w:p w:rsidRPr="00481A94" w:rsidR="00E774A7" w:rsidRDefault="00E774A7" w14:paraId="741433A3" w14:textId="77777777">
      <w:pPr>
        <w:pStyle w:val="BodyText"/>
        <w:ind w:left="0" w:firstLine="0"/>
        <w:jc w:val="left"/>
        <w:rPr>
          <w:b/>
        </w:rPr>
      </w:pPr>
    </w:p>
    <w:p w:rsidRPr="00481A94" w:rsidR="00E774A7" w:rsidRDefault="00DE5F62" w14:paraId="460DF5D7" w14:textId="77777777">
      <w:pPr>
        <w:pStyle w:val="ListParagraph"/>
        <w:numPr>
          <w:ilvl w:val="1"/>
          <w:numId w:val="1"/>
        </w:numPr>
        <w:tabs>
          <w:tab w:val="left" w:pos="795"/>
        </w:tabs>
        <w:ind w:right="119"/>
        <w:jc w:val="both"/>
        <w:rPr>
          <w:sz w:val="24"/>
        </w:rPr>
      </w:pPr>
      <w:r w:rsidRPr="00481A94">
        <w:rPr>
          <w:sz w:val="24"/>
          <w:lang w:bidi="en-US"/>
        </w:rPr>
        <w:t xml:space="preserve">Unless otherwise stipulated in the Agreement, all notices, consents, approvals, and other declarations of intent related to the performance of the Agreement or disputes arising from it, as well as other information (hereinafter: declaration of intent), shall be deemed officially submitted and in compliance with the Agreement if delivered by </w:t>
      </w:r>
      <w:r w:rsidRPr="00481A94">
        <w:rPr>
          <w:sz w:val="24"/>
          <w:lang w:bidi="en-US"/>
        </w:rPr>
        <w:lastRenderedPageBreak/>
        <w:t>letter, e-mail, or other electronic means (e.g. a dedicated IT solution), or by phone using the contact addresses or numbers specified in the Agreement or notified in writing to the other Party.</w:t>
      </w:r>
    </w:p>
    <w:p w:rsidRPr="00481A94" w:rsidR="00E774A7" w:rsidRDefault="00E774A7" w14:paraId="209D1C3D" w14:textId="77777777">
      <w:pPr>
        <w:jc w:val="both"/>
        <w:rPr>
          <w:sz w:val="24"/>
        </w:rPr>
        <w:sectPr w:rsidRPr="00481A94" w:rsidR="00E774A7">
          <w:pgSz w:w="11910" w:h="16840" w:orient="portrait"/>
          <w:pgMar w:top="1320" w:right="1300" w:bottom="640" w:left="1300" w:header="0" w:footer="456" w:gutter="0"/>
          <w:cols w:space="720"/>
        </w:sectPr>
      </w:pPr>
    </w:p>
    <w:p w:rsidRPr="00481A94" w:rsidR="00E774A7" w:rsidRDefault="00E774A7" w14:paraId="46510F8D" w14:textId="77777777">
      <w:pPr>
        <w:pStyle w:val="BodyText"/>
        <w:spacing w:before="76"/>
        <w:ind w:right="119" w:firstLine="0"/>
      </w:pPr>
    </w:p>
    <w:p w:rsidRPr="00481A94" w:rsidR="00E774A7" w:rsidRDefault="00DE5F62" w14:paraId="2ECE6153" w14:textId="77777777">
      <w:pPr>
        <w:pStyle w:val="ListParagraph"/>
        <w:numPr>
          <w:ilvl w:val="1"/>
          <w:numId w:val="1"/>
        </w:numPr>
        <w:tabs>
          <w:tab w:val="left" w:pos="795"/>
        </w:tabs>
        <w:spacing w:before="1"/>
        <w:ind w:hanging="679"/>
        <w:jc w:val="both"/>
        <w:rPr>
          <w:sz w:val="24"/>
        </w:rPr>
      </w:pPr>
      <w:r w:rsidRPr="00481A94">
        <w:rPr>
          <w:sz w:val="24"/>
          <w:lang w:bidi="en-US"/>
        </w:rPr>
        <w:t xml:space="preserve">A notice shall be deemed delivered </w:t>
      </w:r>
      <w:r w:rsidRPr="00481A94">
        <w:rPr>
          <w:spacing w:val="-4"/>
          <w:sz w:val="24"/>
          <w:lang w:bidi="en-US"/>
        </w:rPr>
        <w:t>if:</w:t>
      </w:r>
    </w:p>
    <w:p w:rsidRPr="00481A94" w:rsidR="00E774A7" w:rsidRDefault="00DE5F62" w14:paraId="3E788378" w14:textId="77777777">
      <w:pPr>
        <w:pStyle w:val="ListParagraph"/>
        <w:numPr>
          <w:ilvl w:val="2"/>
          <w:numId w:val="1"/>
        </w:numPr>
        <w:tabs>
          <w:tab w:val="left" w:pos="967"/>
        </w:tabs>
        <w:ind w:left="967" w:hanging="851"/>
        <w:jc w:val="both"/>
        <w:rPr>
          <w:sz w:val="24"/>
        </w:rPr>
      </w:pPr>
      <w:r w:rsidRPr="00481A94">
        <w:rPr>
          <w:sz w:val="24"/>
          <w:lang w:bidi="en-US"/>
        </w:rPr>
        <w:t xml:space="preserve">it is sent by registered </w:t>
      </w:r>
      <w:r w:rsidRPr="00481A94">
        <w:rPr>
          <w:spacing w:val="-2"/>
          <w:sz w:val="24"/>
          <w:lang w:bidi="en-US"/>
        </w:rPr>
        <w:t>mail</w:t>
      </w:r>
      <w:r w:rsidRPr="00481A94">
        <w:rPr>
          <w:sz w:val="24"/>
          <w:lang w:bidi="en-US"/>
        </w:rPr>
        <w:t xml:space="preserve"> via a postal service;</w:t>
      </w:r>
    </w:p>
    <w:p w:rsidRPr="00481A94" w:rsidR="00E774A7" w:rsidRDefault="00DE5F62" w14:paraId="30587606" w14:textId="77777777">
      <w:pPr>
        <w:pStyle w:val="ListParagraph"/>
        <w:numPr>
          <w:ilvl w:val="2"/>
          <w:numId w:val="1"/>
        </w:numPr>
        <w:tabs>
          <w:tab w:val="left" w:pos="968"/>
        </w:tabs>
        <w:ind w:right="120"/>
        <w:jc w:val="both"/>
        <w:rPr>
          <w:sz w:val="24"/>
        </w:rPr>
      </w:pPr>
      <w:r w:rsidRPr="00481A94">
        <w:rPr>
          <w:sz w:val="24"/>
          <w:lang w:bidi="en-US"/>
        </w:rPr>
        <w:t xml:space="preserve">an e-mail or other electronically transmitted message is </w:t>
      </w:r>
      <w:r w:rsidRPr="00481A94">
        <w:rPr>
          <w:spacing w:val="-2"/>
          <w:sz w:val="24"/>
          <w:lang w:bidi="en-US"/>
        </w:rPr>
        <w:t>technically</w:t>
      </w:r>
      <w:r w:rsidRPr="00481A94">
        <w:rPr>
          <w:sz w:val="24"/>
          <w:lang w:bidi="en-US"/>
        </w:rPr>
        <w:t xml:space="preserve"> logged as sent;</w:t>
      </w:r>
    </w:p>
    <w:p w:rsidRPr="00481A94" w:rsidR="00E774A7" w:rsidRDefault="00DE5F62" w14:paraId="4CB49F71" w14:textId="77777777">
      <w:pPr>
        <w:pStyle w:val="ListParagraph"/>
        <w:numPr>
          <w:ilvl w:val="2"/>
          <w:numId w:val="1"/>
        </w:numPr>
        <w:tabs>
          <w:tab w:val="left" w:pos="967"/>
        </w:tabs>
        <w:ind w:left="967" w:hanging="851"/>
        <w:jc w:val="both"/>
        <w:rPr>
          <w:sz w:val="24"/>
        </w:rPr>
      </w:pPr>
      <w:r w:rsidRPr="00481A94">
        <w:rPr>
          <w:sz w:val="24"/>
          <w:lang w:bidi="en-US"/>
        </w:rPr>
        <w:t xml:space="preserve">a phone call has been </w:t>
      </w:r>
      <w:r w:rsidRPr="00481A94">
        <w:rPr>
          <w:spacing w:val="-2"/>
          <w:sz w:val="24"/>
          <w:lang w:bidi="en-US"/>
        </w:rPr>
        <w:t>recorded.</w:t>
      </w:r>
    </w:p>
    <w:p w:rsidRPr="00481A94" w:rsidR="00E774A7" w:rsidRDefault="00DE5F62" w14:paraId="48559508" w14:textId="77777777">
      <w:pPr>
        <w:pStyle w:val="ListParagraph"/>
        <w:numPr>
          <w:ilvl w:val="1"/>
          <w:numId w:val="1"/>
        </w:numPr>
        <w:tabs>
          <w:tab w:val="left" w:pos="795"/>
        </w:tabs>
        <w:ind w:right="121"/>
        <w:jc w:val="both"/>
        <w:rPr>
          <w:sz w:val="24"/>
        </w:rPr>
      </w:pPr>
      <w:r w:rsidRPr="00481A94">
        <w:rPr>
          <w:sz w:val="24"/>
          <w:lang w:bidi="en-US"/>
        </w:rPr>
        <w:t>All declarations of intent shall be deemed valid and binding upon the Parties only if made by persons who are expressly authorised to do so by the respective Party.</w:t>
      </w:r>
    </w:p>
    <w:p w:rsidRPr="00481A94" w:rsidR="00E774A7" w:rsidRDefault="00DE5F62" w14:paraId="16432BBA" w14:textId="77777777">
      <w:pPr>
        <w:pStyle w:val="ListParagraph"/>
        <w:numPr>
          <w:ilvl w:val="1"/>
          <w:numId w:val="1"/>
        </w:numPr>
        <w:tabs>
          <w:tab w:val="left" w:pos="795"/>
        </w:tabs>
        <w:ind w:right="113"/>
        <w:jc w:val="both"/>
        <w:rPr>
          <w:sz w:val="24"/>
        </w:rPr>
      </w:pPr>
      <w:r w:rsidRPr="00481A94">
        <w:rPr>
          <w:sz w:val="24"/>
          <w:lang w:bidi="en-US"/>
        </w:rPr>
        <w:t xml:space="preserve">By signing the Agreement, the Parties give their consent to the recording of calls related to balance responsibility and to the use of such recordings, where necessary, </w:t>
      </w:r>
      <w:r w:rsidRPr="00481A94">
        <w:rPr>
          <w:spacing w:val="-2"/>
          <w:sz w:val="24"/>
          <w:lang w:bidi="en-US"/>
        </w:rPr>
        <w:t>as proof</w:t>
      </w:r>
      <w:r w:rsidRPr="00481A94">
        <w:rPr>
          <w:sz w:val="24"/>
          <w:lang w:bidi="en-US"/>
        </w:rPr>
        <w:t xml:space="preserve"> of instructions given or actions taken by the Balancing Service Provider.</w:t>
      </w:r>
    </w:p>
    <w:sectPr w:rsidRPr="00481A94" w:rsidR="00E774A7">
      <w:pgSz w:w="11910" w:h="16840" w:orient="portrait"/>
      <w:pgMar w:top="1320" w:right="1300" w:bottom="640" w:left="1300" w:header="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481A94" w:rsidR="00031C8C" w:rsidRDefault="00DE5F62" w14:paraId="432E845B" w14:textId="77777777">
      <w:r w:rsidRPr="00481A94">
        <w:separator/>
      </w:r>
    </w:p>
  </w:endnote>
  <w:endnote w:type="continuationSeparator" w:id="0">
    <w:p w:rsidRPr="00481A94" w:rsidR="00031C8C" w:rsidRDefault="00DE5F62" w14:paraId="7469A226" w14:textId="77777777">
      <w:r w:rsidRPr="00481A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481A94" w:rsidR="00E774A7" w:rsidRDefault="00DE5F62" w14:paraId="755B8219" w14:textId="77777777">
    <w:pPr>
      <w:pStyle w:val="BodyText"/>
      <w:spacing w:line="14" w:lineRule="auto"/>
      <w:ind w:left="0" w:firstLine="0"/>
      <w:jc w:val="left"/>
      <w:rPr>
        <w:sz w:val="20"/>
      </w:rPr>
    </w:pPr>
    <w:r w:rsidRPr="00481A94">
      <w:rPr>
        <w:lang w:bidi="en-US"/>
      </w:rPr>
      <mc:AlternateContent>
        <mc:Choice Requires="wps">
          <w:drawing>
            <wp:anchor distT="0" distB="0" distL="0" distR="0" simplePos="0" relativeHeight="251658240" behindDoc="1" locked="0" layoutInCell="1" allowOverlap="1" wp14:anchorId="335CE3CB" wp14:editId="0D9BA25D">
              <wp:simplePos x="0" y="0"/>
              <wp:positionH relativeFrom="page">
                <wp:posOffset>3580003</wp:posOffset>
              </wp:positionH>
              <wp:positionV relativeFrom="page">
                <wp:posOffset>10263050</wp:posOffset>
              </wp:positionV>
              <wp:extent cx="400685"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685" cy="196850"/>
                      </a:xfrm>
                      <a:prstGeom prst="rect">
                        <a:avLst/>
                      </a:prstGeom>
                    </wps:spPr>
                    <wps:txbx>
                      <w:txbxContent>
                        <w:p w:rsidRPr="00481A94" w:rsidR="00E774A7" w:rsidRDefault="00DE5F62" w14:paraId="26B0856E" w14:textId="77777777">
                          <w:pPr>
                            <w:pStyle w:val="BodyText"/>
                            <w:spacing w:before="20"/>
                            <w:ind w:left="20" w:firstLine="0"/>
                            <w:jc w:val="left"/>
                            <w:rPr>
                              <w:rFonts w:ascii="Garamond"/>
                            </w:rPr>
                          </w:pPr>
                          <w:r w:rsidRPr="00481A94">
                            <w:rPr>
                              <w:rFonts w:ascii="Garamond" w:hAnsi="Garamond" w:eastAsia="Garamond" w:cs="Garamond"/>
                              <w:spacing w:val="-2"/>
                              <w:lang w:bidi="en-US"/>
                            </w:rPr>
                            <w:fldChar w:fldCharType="begin"/>
                          </w:r>
                          <w:r w:rsidRPr="00481A94">
                            <w:rPr>
                              <w:rFonts w:ascii="Garamond" w:hAnsi="Garamond" w:eastAsia="Garamond" w:cs="Garamond"/>
                              <w:spacing w:val="-2"/>
                              <w:lang w:bidi="en-US"/>
                            </w:rPr>
                            <w:instrText xml:space="preserve"> PAGE </w:instrText>
                          </w:r>
                          <w:r w:rsidRPr="00481A94">
                            <w:rPr>
                              <w:rFonts w:ascii="Garamond" w:hAnsi="Garamond" w:eastAsia="Garamond" w:cs="Garamond"/>
                              <w:spacing w:val="-2"/>
                              <w:lang w:bidi="en-US"/>
                            </w:rPr>
                            <w:fldChar w:fldCharType="separate"/>
                          </w:r>
                          <w:r w:rsidRPr="00481A94">
                            <w:rPr>
                              <w:rFonts w:ascii="Garamond" w:hAnsi="Garamond" w:eastAsia="Garamond" w:cs="Garamond"/>
                              <w:spacing w:val="-2"/>
                              <w:lang w:bidi="en-US"/>
                            </w:rPr>
                            <w:t>10</w:t>
                          </w:r>
                          <w:r w:rsidRPr="00481A94">
                            <w:rPr>
                              <w:rFonts w:ascii="Garamond" w:hAnsi="Garamond" w:eastAsia="Garamond" w:cs="Garamond"/>
                              <w:spacing w:val="-2"/>
                              <w:lang w:bidi="en-US"/>
                            </w:rPr>
                            <w:fldChar w:fldCharType="end"/>
                          </w:r>
                          <w:r w:rsidRPr="00481A94">
                            <w:rPr>
                              <w:rFonts w:ascii="Garamond" w:hAnsi="Garamond" w:eastAsia="Garamond" w:cs="Garamond"/>
                              <w:spacing w:val="-2"/>
                              <w:lang w:bidi="en-US"/>
                            </w:rPr>
                            <w:t>(</w:t>
                          </w:r>
                          <w:r w:rsidRPr="00481A94">
                            <w:rPr>
                              <w:rFonts w:ascii="Garamond" w:hAnsi="Garamond" w:eastAsia="Garamond" w:cs="Garamond"/>
                              <w:spacing w:val="-2"/>
                              <w:lang w:bidi="en-US"/>
                            </w:rPr>
                            <w:fldChar w:fldCharType="begin"/>
                          </w:r>
                          <w:r w:rsidRPr="00481A94">
                            <w:rPr>
                              <w:rFonts w:ascii="Garamond" w:hAnsi="Garamond" w:eastAsia="Garamond" w:cs="Garamond"/>
                              <w:spacing w:val="-2"/>
                              <w:lang w:bidi="en-US"/>
                            </w:rPr>
                            <w:instrText xml:space="preserve"> NUMPAGES </w:instrText>
                          </w:r>
                          <w:r w:rsidRPr="00481A94">
                            <w:rPr>
                              <w:rFonts w:ascii="Garamond" w:hAnsi="Garamond" w:eastAsia="Garamond" w:cs="Garamond"/>
                              <w:spacing w:val="-2"/>
                              <w:lang w:bidi="en-US"/>
                            </w:rPr>
                            <w:fldChar w:fldCharType="separate"/>
                          </w:r>
                          <w:r w:rsidRPr="00481A94">
                            <w:rPr>
                              <w:rFonts w:ascii="Garamond" w:hAnsi="Garamond" w:eastAsia="Garamond" w:cs="Garamond"/>
                              <w:spacing w:val="-2"/>
                              <w:lang w:bidi="en-US"/>
                            </w:rPr>
                            <w:t>13</w:t>
                          </w:r>
                          <w:r w:rsidRPr="00481A94">
                            <w:rPr>
                              <w:rFonts w:ascii="Garamond" w:hAnsi="Garamond" w:eastAsia="Garamond" w:cs="Garamond"/>
                              <w:spacing w:val="-2"/>
                              <w:lang w:bidi="en-US"/>
                            </w:rPr>
                            <w:fldChar w:fldCharType="end"/>
                          </w:r>
                          <w:r w:rsidRPr="00481A94">
                            <w:rPr>
                              <w:rFonts w:ascii="Garamond" w:hAnsi="Garamond" w:eastAsia="Garamond" w:cs="Garamond"/>
                              <w:spacing w:val="-2"/>
                              <w:lang w:bidi="en-US"/>
                            </w:rPr>
                            <w:t>)</w:t>
                          </w:r>
                        </w:p>
                      </w:txbxContent>
                    </wps:txbx>
                    <wps:bodyPr wrap="square" lIns="0" tIns="0" rIns="0" bIns="0" rtlCol="0">
                      <a:noAutofit/>
                    </wps:bodyPr>
                  </wps:wsp>
                </a:graphicData>
              </a:graphic>
            </wp:anchor>
          </w:drawing>
        </mc:Choice>
        <mc:Fallback>
          <w:pict>
            <v:shapetype id="_x0000_t202" coordsize="21600,21600" o:spt="202" path="m,l,21600r21600,l21600,xe" w14:anchorId="335CE3CB">
              <v:stroke joinstyle="miter"/>
              <v:path gradientshapeok="t" o:connecttype="rect"/>
            </v:shapetype>
            <v:shape id="Textbox 1" style="position:absolute;margin-left:281.9pt;margin-top:808.1pt;width:31.55pt;height:15.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">
              <v:textbox inset="0,0,0,0">
                <w:txbxContent>
                  <w:p w:rsidRPr="00481A94" w:rsidR="00E774A7" w:rsidRDefault="00DE5F62" w14:paraId="26B0856E" w14:textId="77777777">
                    <w:pPr>
                      <w:pStyle w:val="BodyText"/>
                      <w:spacing w:before="20"/>
                      <w:ind w:left="20" w:firstLine="0"/>
                      <w:jc w:val="left"/>
                      <w:rPr>
                        <w:rFonts w:ascii="Garamond"/>
                      </w:rPr>
                    </w:pPr>
                    <w:r w:rsidRPr="00481A94">
                      <w:rPr>
                        <w:rFonts w:ascii="Garamond" w:hAnsi="Garamond" w:eastAsia="Garamond" w:cs="Garamond"/>
                        <w:spacing w:val="-2"/>
                        <w:lang w:bidi="en-US"/>
                      </w:rPr>
                      <w:fldChar w:fldCharType="begin"/>
                    </w:r>
                    <w:r w:rsidRPr="00481A94">
                      <w:rPr>
                        <w:rFonts w:ascii="Garamond" w:hAnsi="Garamond" w:eastAsia="Garamond" w:cs="Garamond"/>
                        <w:spacing w:val="-2"/>
                        <w:lang w:bidi="en-US"/>
                      </w:rPr>
                      <w:instrText xml:space="preserve"> PAGE </w:instrText>
                    </w:r>
                    <w:r w:rsidRPr="00481A94">
                      <w:rPr>
                        <w:rFonts w:ascii="Garamond" w:hAnsi="Garamond" w:eastAsia="Garamond" w:cs="Garamond"/>
                        <w:spacing w:val="-2"/>
                        <w:lang w:bidi="en-US"/>
                      </w:rPr>
                      <w:fldChar w:fldCharType="separate"/>
                    </w:r>
                    <w:r w:rsidRPr="00481A94">
                      <w:rPr>
                        <w:rFonts w:ascii="Garamond" w:hAnsi="Garamond" w:eastAsia="Garamond" w:cs="Garamond"/>
                        <w:spacing w:val="-2"/>
                        <w:lang w:bidi="en-US"/>
                      </w:rPr>
                      <w:t>10</w:t>
                    </w:r>
                    <w:r w:rsidRPr="00481A94">
                      <w:rPr>
                        <w:rFonts w:ascii="Garamond" w:hAnsi="Garamond" w:eastAsia="Garamond" w:cs="Garamond"/>
                        <w:spacing w:val="-2"/>
                        <w:lang w:bidi="en-US"/>
                      </w:rPr>
                      <w:fldChar w:fldCharType="end"/>
                    </w:r>
                    <w:r w:rsidRPr="00481A94">
                      <w:rPr>
                        <w:rFonts w:ascii="Garamond" w:hAnsi="Garamond" w:eastAsia="Garamond" w:cs="Garamond"/>
                        <w:spacing w:val="-2"/>
                        <w:lang w:bidi="en-US"/>
                      </w:rPr>
                      <w:t>(</w:t>
                    </w:r>
                    <w:r w:rsidRPr="00481A94">
                      <w:rPr>
                        <w:rFonts w:ascii="Garamond" w:hAnsi="Garamond" w:eastAsia="Garamond" w:cs="Garamond"/>
                        <w:spacing w:val="-2"/>
                        <w:lang w:bidi="en-US"/>
                      </w:rPr>
                      <w:fldChar w:fldCharType="begin"/>
                    </w:r>
                    <w:r w:rsidRPr="00481A94">
                      <w:rPr>
                        <w:rFonts w:ascii="Garamond" w:hAnsi="Garamond" w:eastAsia="Garamond" w:cs="Garamond"/>
                        <w:spacing w:val="-2"/>
                        <w:lang w:bidi="en-US"/>
                      </w:rPr>
                      <w:instrText xml:space="preserve"> NUMPAGES </w:instrText>
                    </w:r>
                    <w:r w:rsidRPr="00481A94">
                      <w:rPr>
                        <w:rFonts w:ascii="Garamond" w:hAnsi="Garamond" w:eastAsia="Garamond" w:cs="Garamond"/>
                        <w:spacing w:val="-2"/>
                        <w:lang w:bidi="en-US"/>
                      </w:rPr>
                      <w:fldChar w:fldCharType="separate"/>
                    </w:r>
                    <w:r w:rsidRPr="00481A94">
                      <w:rPr>
                        <w:rFonts w:ascii="Garamond" w:hAnsi="Garamond" w:eastAsia="Garamond" w:cs="Garamond"/>
                        <w:spacing w:val="-2"/>
                        <w:lang w:bidi="en-US"/>
                      </w:rPr>
                      <w:t>13</w:t>
                    </w:r>
                    <w:r w:rsidRPr="00481A94">
                      <w:rPr>
                        <w:rFonts w:ascii="Garamond" w:hAnsi="Garamond" w:eastAsia="Garamond" w:cs="Garamond"/>
                        <w:spacing w:val="-2"/>
                        <w:lang w:bidi="en-US"/>
                      </w:rPr>
                      <w:fldChar w:fldCharType="end"/>
                    </w:r>
                    <w:r w:rsidRPr="00481A94">
                      <w:rPr>
                        <w:rFonts w:ascii="Garamond" w:hAnsi="Garamond" w:eastAsia="Garamond" w:cs="Garamond"/>
                        <w:spacing w:val="-2"/>
                        <w:lang w:bidi="en-US"/>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481A94" w:rsidR="00031C8C" w:rsidRDefault="00DE5F62" w14:paraId="29F12D8D" w14:textId="77777777">
      <w:r w:rsidRPr="00481A94">
        <w:separator/>
      </w:r>
    </w:p>
  </w:footnote>
  <w:footnote w:type="continuationSeparator" w:id="0">
    <w:p w:rsidRPr="00481A94" w:rsidR="00031C8C" w:rsidRDefault="00DE5F62" w14:paraId="109AE2DC" w14:textId="77777777">
      <w:r w:rsidRPr="00481A9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86A79"/>
    <w:multiLevelType w:val="multilevel"/>
    <w:tmpl w:val="4170BB24"/>
    <w:lvl w:ilvl="0">
      <w:start w:val="1"/>
      <w:numFmt w:val="decimal"/>
      <w:lvlText w:val="%1."/>
      <w:lvlJc w:val="left"/>
      <w:pPr>
        <w:ind w:left="682" w:hanging="567"/>
        <w:jc w:val="left"/>
      </w:pPr>
      <w:rPr>
        <w:rFonts w:hint="default" w:ascii="Times New Roman" w:hAnsi="Times New Roman" w:eastAsia="Times New Roman" w:cs="Times New Roman"/>
        <w:b/>
        <w:bCs/>
        <w:i w:val="0"/>
        <w:iCs w:val="0"/>
        <w:spacing w:val="0"/>
        <w:w w:val="100"/>
        <w:sz w:val="24"/>
        <w:szCs w:val="24"/>
        <w:lang w:val="et-EE" w:eastAsia="en-US" w:bidi="ar-SA"/>
      </w:rPr>
    </w:lvl>
    <w:lvl w:ilvl="1">
      <w:start w:val="1"/>
      <w:numFmt w:val="decimal"/>
      <w:lvlText w:val="%1.%2."/>
      <w:lvlJc w:val="left"/>
      <w:pPr>
        <w:ind w:left="795" w:hanging="680"/>
        <w:jc w:val="left"/>
      </w:pPr>
      <w:rPr>
        <w:rFonts w:hint="default" w:ascii="Times New Roman" w:hAnsi="Times New Roman" w:eastAsia="Times New Roman" w:cs="Times New Roman"/>
        <w:b w:val="0"/>
        <w:bCs w:val="0"/>
        <w:i w:val="0"/>
        <w:iCs w:val="0"/>
        <w:spacing w:val="0"/>
        <w:w w:val="100"/>
        <w:sz w:val="24"/>
        <w:szCs w:val="24"/>
        <w:lang w:val="et-EE" w:eastAsia="en-US" w:bidi="ar-SA"/>
      </w:rPr>
    </w:lvl>
    <w:lvl w:ilvl="2">
      <w:start w:val="1"/>
      <w:numFmt w:val="decimal"/>
      <w:lvlText w:val="%1.%2.%3."/>
      <w:lvlJc w:val="left"/>
      <w:pPr>
        <w:ind w:left="968" w:hanging="852"/>
        <w:jc w:val="left"/>
      </w:pPr>
      <w:rPr>
        <w:rFonts w:hint="default" w:ascii="Times New Roman" w:hAnsi="Times New Roman" w:eastAsia="Times New Roman" w:cs="Times New Roman"/>
        <w:b w:val="0"/>
        <w:bCs w:val="0"/>
        <w:i w:val="0"/>
        <w:iCs w:val="0"/>
        <w:spacing w:val="0"/>
        <w:w w:val="100"/>
        <w:sz w:val="24"/>
        <w:szCs w:val="24"/>
        <w:lang w:val="et-EE" w:eastAsia="en-US" w:bidi="ar-SA"/>
      </w:rPr>
    </w:lvl>
    <w:lvl w:ilvl="3">
      <w:start w:val="1"/>
      <w:numFmt w:val="decimal"/>
      <w:lvlText w:val="%1.%2.%3.%4."/>
      <w:lvlJc w:val="left"/>
      <w:pPr>
        <w:ind w:left="1532" w:hanging="850"/>
        <w:jc w:val="left"/>
      </w:pPr>
      <w:rPr>
        <w:rFonts w:hint="default" w:ascii="Times New Roman" w:hAnsi="Times New Roman" w:eastAsia="Times New Roman" w:cs="Times New Roman"/>
        <w:b w:val="0"/>
        <w:bCs w:val="0"/>
        <w:i w:val="0"/>
        <w:iCs w:val="0"/>
        <w:spacing w:val="0"/>
        <w:w w:val="100"/>
        <w:sz w:val="24"/>
        <w:szCs w:val="24"/>
        <w:lang w:val="et-EE" w:eastAsia="en-US" w:bidi="ar-SA"/>
      </w:rPr>
    </w:lvl>
    <w:lvl w:ilvl="4">
      <w:numFmt w:val="bullet"/>
      <w:lvlText w:val="•"/>
      <w:lvlJc w:val="left"/>
      <w:pPr>
        <w:ind w:left="1540" w:hanging="850"/>
      </w:pPr>
      <w:rPr>
        <w:rFonts w:hint="default"/>
        <w:lang w:val="et-EE" w:eastAsia="en-US" w:bidi="ar-SA"/>
      </w:rPr>
    </w:lvl>
    <w:lvl w:ilvl="5">
      <w:numFmt w:val="bullet"/>
      <w:lvlText w:val="•"/>
      <w:lvlJc w:val="left"/>
      <w:pPr>
        <w:ind w:left="2834" w:hanging="850"/>
      </w:pPr>
      <w:rPr>
        <w:rFonts w:hint="default"/>
        <w:lang w:val="et-EE" w:eastAsia="en-US" w:bidi="ar-SA"/>
      </w:rPr>
    </w:lvl>
    <w:lvl w:ilvl="6">
      <w:numFmt w:val="bullet"/>
      <w:lvlText w:val="•"/>
      <w:lvlJc w:val="left"/>
      <w:pPr>
        <w:ind w:left="4128" w:hanging="850"/>
      </w:pPr>
      <w:rPr>
        <w:rFonts w:hint="default"/>
        <w:lang w:val="et-EE" w:eastAsia="en-US" w:bidi="ar-SA"/>
      </w:rPr>
    </w:lvl>
    <w:lvl w:ilvl="7">
      <w:numFmt w:val="bullet"/>
      <w:lvlText w:val="•"/>
      <w:lvlJc w:val="left"/>
      <w:pPr>
        <w:ind w:left="5423" w:hanging="850"/>
      </w:pPr>
      <w:rPr>
        <w:rFonts w:hint="default"/>
        <w:lang w:val="et-EE" w:eastAsia="en-US" w:bidi="ar-SA"/>
      </w:rPr>
    </w:lvl>
    <w:lvl w:ilvl="8">
      <w:numFmt w:val="bullet"/>
      <w:lvlText w:val="•"/>
      <w:lvlJc w:val="left"/>
      <w:pPr>
        <w:ind w:left="6717" w:hanging="850"/>
      </w:pPr>
      <w:rPr>
        <w:rFonts w:hint="default"/>
        <w:lang w:val="et-EE" w:eastAsia="en-US" w:bidi="ar-SA"/>
      </w:rPr>
    </w:lvl>
  </w:abstractNum>
  <w:abstractNum w:abstractNumId="1" w15:restartNumberingAfterBreak="0">
    <w:nsid w:val="2DA13875"/>
    <w:multiLevelType w:val="hybridMultilevel"/>
    <w:tmpl w:val="62F4935C"/>
    <w:lvl w:ilvl="0" w:tplc="D682C53E">
      <w:start w:val="1"/>
      <w:numFmt w:val="decimal"/>
      <w:lvlText w:val="%1."/>
      <w:lvlJc w:val="left"/>
      <w:pPr>
        <w:ind w:left="596" w:hanging="480"/>
        <w:jc w:val="left"/>
      </w:pPr>
      <w:rPr>
        <w:rFonts w:hint="default" w:ascii="Times New Roman" w:hAnsi="Times New Roman" w:eastAsia="Times New Roman" w:cs="Times New Roman"/>
        <w:b w:val="0"/>
        <w:bCs w:val="0"/>
        <w:i w:val="0"/>
        <w:iCs w:val="0"/>
        <w:spacing w:val="0"/>
        <w:w w:val="100"/>
        <w:sz w:val="24"/>
        <w:szCs w:val="24"/>
        <w:lang w:val="et-EE" w:eastAsia="en-US" w:bidi="ar-SA"/>
      </w:rPr>
    </w:lvl>
    <w:lvl w:ilvl="1" w:tplc="8F4C00FA">
      <w:numFmt w:val="bullet"/>
      <w:lvlText w:val="•"/>
      <w:lvlJc w:val="left"/>
      <w:pPr>
        <w:ind w:left="1470" w:hanging="480"/>
      </w:pPr>
      <w:rPr>
        <w:rFonts w:hint="default"/>
        <w:lang w:val="et-EE" w:eastAsia="en-US" w:bidi="ar-SA"/>
      </w:rPr>
    </w:lvl>
    <w:lvl w:ilvl="2" w:tplc="DDC42190">
      <w:numFmt w:val="bullet"/>
      <w:lvlText w:val="•"/>
      <w:lvlJc w:val="left"/>
      <w:pPr>
        <w:ind w:left="2341" w:hanging="480"/>
      </w:pPr>
      <w:rPr>
        <w:rFonts w:hint="default"/>
        <w:lang w:val="et-EE" w:eastAsia="en-US" w:bidi="ar-SA"/>
      </w:rPr>
    </w:lvl>
    <w:lvl w:ilvl="3" w:tplc="0E8A1442">
      <w:numFmt w:val="bullet"/>
      <w:lvlText w:val="•"/>
      <w:lvlJc w:val="left"/>
      <w:pPr>
        <w:ind w:left="3211" w:hanging="480"/>
      </w:pPr>
      <w:rPr>
        <w:rFonts w:hint="default"/>
        <w:lang w:val="et-EE" w:eastAsia="en-US" w:bidi="ar-SA"/>
      </w:rPr>
    </w:lvl>
    <w:lvl w:ilvl="4" w:tplc="9CAE31DA">
      <w:numFmt w:val="bullet"/>
      <w:lvlText w:val="•"/>
      <w:lvlJc w:val="left"/>
      <w:pPr>
        <w:ind w:left="4082" w:hanging="480"/>
      </w:pPr>
      <w:rPr>
        <w:rFonts w:hint="default"/>
        <w:lang w:val="et-EE" w:eastAsia="en-US" w:bidi="ar-SA"/>
      </w:rPr>
    </w:lvl>
    <w:lvl w:ilvl="5" w:tplc="EF8A0670">
      <w:numFmt w:val="bullet"/>
      <w:lvlText w:val="•"/>
      <w:lvlJc w:val="left"/>
      <w:pPr>
        <w:ind w:left="4953" w:hanging="480"/>
      </w:pPr>
      <w:rPr>
        <w:rFonts w:hint="default"/>
        <w:lang w:val="et-EE" w:eastAsia="en-US" w:bidi="ar-SA"/>
      </w:rPr>
    </w:lvl>
    <w:lvl w:ilvl="6" w:tplc="69B81284">
      <w:numFmt w:val="bullet"/>
      <w:lvlText w:val="•"/>
      <w:lvlJc w:val="left"/>
      <w:pPr>
        <w:ind w:left="5823" w:hanging="480"/>
      </w:pPr>
      <w:rPr>
        <w:rFonts w:hint="default"/>
        <w:lang w:val="et-EE" w:eastAsia="en-US" w:bidi="ar-SA"/>
      </w:rPr>
    </w:lvl>
    <w:lvl w:ilvl="7" w:tplc="9B709B14">
      <w:numFmt w:val="bullet"/>
      <w:lvlText w:val="•"/>
      <w:lvlJc w:val="left"/>
      <w:pPr>
        <w:ind w:left="6694" w:hanging="480"/>
      </w:pPr>
      <w:rPr>
        <w:rFonts w:hint="default"/>
        <w:lang w:val="et-EE" w:eastAsia="en-US" w:bidi="ar-SA"/>
      </w:rPr>
    </w:lvl>
    <w:lvl w:ilvl="8" w:tplc="FBA22B2A">
      <w:numFmt w:val="bullet"/>
      <w:lvlText w:val="•"/>
      <w:lvlJc w:val="left"/>
      <w:pPr>
        <w:ind w:left="7565" w:hanging="480"/>
      </w:pPr>
      <w:rPr>
        <w:rFonts w:hint="default"/>
        <w:lang w:val="et-EE" w:eastAsia="en-US" w:bidi="ar-SA"/>
      </w:rPr>
    </w:lvl>
  </w:abstractNum>
  <w:num w:numId="1" w16cid:durableId="1489395827">
    <w:abstractNumId w:val="0"/>
  </w:num>
  <w:num w:numId="2" w16cid:durableId="2037805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E774A7"/>
    <w:rsid w:val="00031C8C"/>
    <w:rsid w:val="00481A94"/>
    <w:rsid w:val="00A02107"/>
    <w:rsid w:val="00DE5F62"/>
    <w:rsid w:val="00E774A7"/>
    <w:rsid w:val="08FCE5EF"/>
    <w:rsid w:val="0ED95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C3A9F"/>
  <w15:docId w15:val="{87ECACD6-4410-4B10-AD90-CB3B1C1C7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lang w:val="en-GB"/>
    </w:rPr>
  </w:style>
  <w:style w:type="paragraph" w:styleId="Heading1">
    <w:name w:val="heading 1"/>
    <w:basedOn w:val="Normal"/>
    <w:uiPriority w:val="9"/>
    <w:qFormat/>
    <w:pPr>
      <w:ind w:left="682" w:hanging="566"/>
      <w:outlineLvl w:val="0"/>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39"/>
    <w:qFormat/>
    <w:pPr>
      <w:spacing w:before="101"/>
      <w:ind w:left="596" w:hanging="480"/>
    </w:pPr>
    <w:rPr>
      <w:sz w:val="24"/>
      <w:szCs w:val="24"/>
    </w:rPr>
  </w:style>
  <w:style w:type="paragraph" w:styleId="BodyText">
    <w:name w:val="Body Text"/>
    <w:basedOn w:val="Normal"/>
    <w:uiPriority w:val="1"/>
    <w:qFormat/>
    <w:pPr>
      <w:ind w:left="795" w:hanging="680"/>
      <w:jc w:val="both"/>
    </w:pPr>
    <w:rPr>
      <w:sz w:val="24"/>
      <w:szCs w:val="24"/>
    </w:rPr>
  </w:style>
  <w:style w:type="paragraph" w:styleId="ListParagraph">
    <w:name w:val="List Paragraph"/>
    <w:basedOn w:val="Normal"/>
    <w:uiPriority w:val="1"/>
    <w:qFormat/>
    <w:pPr>
      <w:ind w:left="795" w:hanging="680"/>
      <w:jc w:val="both"/>
    </w:pPr>
  </w:style>
  <w:style w:type="paragraph" w:styleId="TableParagraph" w:customStyle="1">
    <w:name w:val="Table Paragraph"/>
    <w:basedOn w:val="Normal"/>
    <w:uiPriority w:val="1"/>
    <w:qFormat/>
    <w:pPr>
      <w:ind w:left="108"/>
    </w:pPr>
    <w:rPr>
      <w:rFonts w:ascii="Garamond" w:hAnsi="Garamond" w:eastAsia="Garamond" w:cs="Garamond"/>
    </w:rPr>
  </w:style>
  <w:style w:type="character" w:styleId="Hyperlink">
    <w:name w:val="Hyperlink"/>
    <w:basedOn w:val="DefaultParagraphFont"/>
    <w:uiPriority w:val="99"/>
    <w:unhideWhenUsed/>
    <w:rsid w:val="00481A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www.elering.ee/" TargetMode="Externa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www.elering.ee/" TargetMode="External" Id="rId9" /><Relationship Type="http://schemas.openxmlformats.org/officeDocument/2006/relationships/customXml" Target="../customXml/item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F96D5712B4154E899B5F33760CC930" ma:contentTypeVersion="3" ma:contentTypeDescription="Create a new document." ma:contentTypeScope="" ma:versionID="75ac13e8f6e99db2701c32ebe81a6c0e">
  <xsd:schema xmlns:xsd="http://www.w3.org/2001/XMLSchema" xmlns:xs="http://www.w3.org/2001/XMLSchema" xmlns:p="http://schemas.microsoft.com/office/2006/metadata/properties" xmlns:ns2="d4e2a6c6-1ce9-4fa1-bc27-08c542745a7d" targetNamespace="http://schemas.microsoft.com/office/2006/metadata/properties" ma:root="true" ma:fieldsID="d88529e735a7e38106fec8105ad67c00" ns2:_="">
    <xsd:import namespace="d4e2a6c6-1ce9-4fa1-bc27-08c542745a7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2a6c6-1ce9-4fa1-bc27-08c542745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26850E-29CA-4A7C-90A9-673AD84C8DD4}"/>
</file>

<file path=customXml/itemProps2.xml><?xml version="1.0" encoding="utf-8"?>
<ds:datastoreItem xmlns:ds="http://schemas.openxmlformats.org/officeDocument/2006/customXml" ds:itemID="{833CC299-F6D2-406D-9126-17CEBC9473D5}"/>
</file>

<file path=customXml/itemProps3.xml><?xml version="1.0" encoding="utf-8"?>
<ds:datastoreItem xmlns:ds="http://schemas.openxmlformats.org/officeDocument/2006/customXml" ds:itemID="{D13E7B3B-BEAA-432B-BF6B-DA45DC2F0DF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2 Automaatselt_käivitatava_sageduse_taastamise_reservi_teenuse_osutamise_tuuptingimused</dc:title>
  <dc:creator>Marie Kalmet</dc:creator>
  <cp:lastModifiedBy>Anet Marii Paumets</cp:lastModifiedBy>
  <cp:revision>4</cp:revision>
  <dcterms:created xsi:type="dcterms:W3CDTF">2025-05-02T08:01:00Z</dcterms:created>
  <dcterms:modified xsi:type="dcterms:W3CDTF">2025-05-29T11:52:04Z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2025-02-13T00:00:00Z</vt:filetime>
  </property>
  <property fmtid="{D5CDD505-2E9C-101B-9397-08002B2CF9AE}" pid="3" name="Creator">
    <vt:lpwstr>Microsoft® Word for Microsoft 365</vt:lpwstr>
  </property>
  <property fmtid="{D5CDD505-2E9C-101B-9397-08002B2CF9AE}" pid="4" name="LastSaved">
    <vt:filetime>2025-04-17T00:00:00Z</vt:filetime>
  </property>
  <property fmtid="{D5CDD505-2E9C-101B-9397-08002B2CF9AE}" pid="5" name="Producer">
    <vt:lpwstr>Microsoft® Word for Microsoft 365</vt:lpwstr>
  </property>
  <property fmtid="{D5CDD505-2E9C-101B-9397-08002B2CF9AE}" pid="6" name="ContentTypeId">
    <vt:lpwstr>0x01010066F96D5712B4154E899B5F33760CC930</vt:lpwstr>
  </property>
</Properties>
</file>