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2CFFC" w14:textId="10B7A9DE" w:rsidR="00BD7C68" w:rsidRPr="00207C2A" w:rsidRDefault="00BD7C68" w:rsidP="00C669D7">
      <w:pPr>
        <w:rPr>
          <w:b/>
          <w:bCs/>
          <w:u w:val="single"/>
        </w:rPr>
      </w:pPr>
      <w:r w:rsidRPr="00BD7C68">
        <w:rPr>
          <w:b/>
          <w:bCs/>
          <w:u w:val="single"/>
        </w:rPr>
        <w:t>Kommentaar 36</w:t>
      </w:r>
      <w:r>
        <w:rPr>
          <w:b/>
          <w:bCs/>
          <w:u w:val="single"/>
        </w:rPr>
        <w:t>:</w:t>
      </w:r>
    </w:p>
    <w:p w14:paraId="0BC8983B" w14:textId="77777777" w:rsidR="00C669D7" w:rsidRDefault="00C669D7" w:rsidP="00207C2A">
      <w:pPr>
        <w:jc w:val="both"/>
      </w:pPr>
      <w:r>
        <w:t xml:space="preserve">Lisa 2 „Hajutatud taaskäivitamise võimekuse teenuse tingimused“ („tingimused“) p 2.d.i sätestab: „Hangitav teenus: Hajutatud kustumisest taastamise (Black start) võimekus, mis tähendab elektrijaama suutlikkust käivituda iseseisvalt ilma välisest elektrivõrgust saadava toiteta ja seejärel pingestada elektrisüsteemi elemente. Välise toite täielikul puudumisel on elektrijaam võimeline käivituma ja teenust osutama pinge kadumise hetkest 24 tunni möödumiseni. Pärast käivitumist on elektrijaam ette nähtud võimsusvahemikus elektrienergiat tootma vähemalt 48 järjestikkust tundi.“ Tingimuste p 2.d.ii sätestab, et „Hangitav koguvõimsus (P): kuni 900 MW.“ Tingimuste p 2.d.xiii sätestab: "Käivituskiirus mitte rohkem kui 15 minutit täisvõimsuse saavutamiseni, alates käivituskäsu saamisest."                                                                          </w:t>
      </w:r>
    </w:p>
    <w:p w14:paraId="2984BC2B" w14:textId="77777777" w:rsidR="00C669D7" w:rsidRDefault="00C669D7" w:rsidP="00207C2A">
      <w:pPr>
        <w:jc w:val="both"/>
      </w:pPr>
      <w:r>
        <w:t>Tingimustes on viidatud ELTS § 66</w:t>
      </w:r>
      <w:r w:rsidRPr="00141667">
        <w:rPr>
          <w:vertAlign w:val="superscript"/>
        </w:rPr>
        <w:t>3</w:t>
      </w:r>
      <w:r>
        <w:t xml:space="preserve"> lg-le 3 ja Euroopa Komisjoni määruse 2017/2196 artiklitele 4 ja 7. ELTS § 66</w:t>
      </w:r>
      <w:r w:rsidRPr="00141667">
        <w:rPr>
          <w:vertAlign w:val="superscript"/>
        </w:rPr>
        <w:t>3</w:t>
      </w:r>
      <w:r>
        <w:t xml:space="preserve"> lg 3 sätestab, et „Sagedusega mitteseotud tugiteenuste spetsifikatsiooni ja toodete tehniliste tingimuste kohta peab võrguettevõtja eelnevalt korraldama avaliku konsultatsiooni, mille tulemused esitatakse Konkurentsiametile koos teenuse hankimise põhimõtetega. Konkurentsiamet võib jätta teenuse hankimise põhimõtted kooskõlastamata ja teha ettekirjutuse nende muutmiseks, kui need ei taga teenuse kulutõhusat hankimist või ei vasta võrdse kohtlemise ja läbipaistvuse põhimõttele.“ Määruse 2017/2196 artikli 4 lg 1 kohaselt muu hulgas: „Käesoleva määruse kohaldamisel peavad liikmesriigid, reguleerivad asutused, pädevad asutused ja võrguettevõtjad: a) kohaldama proportsionaalsuse ja mittediskrimineerimise põhimõtteid; b) tagama läbipaistvuse; c) kohaldama kõigi osaliste suhtes põhimõtet, et tuleb leida optimum suurima üldise tõhususe ja väikseimate kogukulude vahel; /---/“                                                                                                                            </w:t>
      </w:r>
    </w:p>
    <w:p w14:paraId="64338D75" w14:textId="77777777" w:rsidR="00C669D7" w:rsidRDefault="00C669D7" w:rsidP="00207C2A">
      <w:pPr>
        <w:jc w:val="both"/>
      </w:pPr>
      <w:r>
        <w:t xml:space="preserve">Eleringi pakutud tingimustel (koguvõimsus kuni 900 MW, tootmine vähemalt 48 järjestikkust tundi, käivituskiirus mitte rohkem kui 15 minutit) taaskäivitamise võimekuse teenuse hange on põhjendamatu (k.a läbipaistmatu ja mitte kulutõhus) ning ebaproportsionaalselt piirav ja ebavõrdset kohtlemist tekitav alljärgnevatel põhjustel:                                                                                                               </w:t>
      </w:r>
    </w:p>
    <w:p w14:paraId="28C69CCE" w14:textId="2E7F64F4" w:rsidR="00C669D7" w:rsidRDefault="00C669D7" w:rsidP="00D7721D">
      <w:pPr>
        <w:jc w:val="both"/>
      </w:pPr>
      <w:r>
        <w:t xml:space="preserve">Hangitava koguvõimsusega kuni 900 MW ning pärast käivitumist ette nähtud võimsusvahemikus vähemalt 48 järjestikkuse tunni elektrienergia tootmisega black start võimekus ei põhine ühelgi seni avaldatud analüüsil ja arengudokumendil. Samuti pole analoogset analüüsi esitatud käesoleva konsultatsiooni käigus. </w:t>
      </w:r>
    </w:p>
    <w:p w14:paraId="0BAAD05D" w14:textId="77777777" w:rsidR="00355D3D" w:rsidRDefault="00355D3D" w:rsidP="00D7721D">
      <w:pPr>
        <w:jc w:val="both"/>
      </w:pPr>
    </w:p>
    <w:p w14:paraId="2EB9F1D6" w14:textId="5A831616" w:rsidR="006F46DE" w:rsidRDefault="007C2B79" w:rsidP="006F46DE">
      <w:pPr>
        <w:jc w:val="both"/>
        <w:rPr>
          <w:i/>
          <w:iCs/>
          <w:u w:val="single"/>
        </w:rPr>
      </w:pPr>
      <w:r w:rsidRPr="007C2B79">
        <w:rPr>
          <w:i/>
          <w:iCs/>
          <w:u w:val="single"/>
        </w:rPr>
        <w:t>Eleringi vastus: Nimetatud nõuded põhinevad Eleringi analüüsil, mille teostamisel on aluseks võetud viimaste aastate jooksul muutunud geopoliitilist olukorda ja Portugali-Hispaania süsteemi kustumise kogemusi.</w:t>
      </w:r>
    </w:p>
    <w:p w14:paraId="5D279D10" w14:textId="77777777" w:rsidR="00355D3D" w:rsidRPr="007C2B79" w:rsidRDefault="00355D3D" w:rsidP="006F46DE">
      <w:pPr>
        <w:jc w:val="both"/>
        <w:rPr>
          <w:i/>
          <w:iCs/>
          <w:u w:val="single"/>
        </w:rPr>
      </w:pPr>
    </w:p>
    <w:p w14:paraId="667A5E27" w14:textId="77777777" w:rsidR="00C669D7" w:rsidRDefault="00C669D7" w:rsidP="00207C2A">
      <w:pPr>
        <w:jc w:val="both"/>
      </w:pPr>
      <w:r>
        <w:lastRenderedPageBreak/>
        <w:t xml:space="preserve">Alles hiljuti avaldatud A. Sullingu ja E. Raasukese analüüsis „Välisinvestorite tagasiside suurte energiataristu investeeringute tegemiseks Eestisse“ märgiti (küll teiste projektide kontekstis - ent järeldus on üldistatav), et Eesti energiapoliitilistel otsustel puudub sisuline analüüs ja konkreetne terviklik strateegia (muu hulgas milliseid tootmis- ja salvestusvõimsusi, millises mahus ja millises ajakavas on vaja). Kuskilt ei nähtu ka kavandatava taaskäivitamise võimekuse teenuse hanke puhul analüüsi, mis tõendaks vajadust just avaldatud tingimustel (k.a 900 MW/48 tundi) taaskäivitamise võimekuse teenuse järele. </w:t>
      </w:r>
    </w:p>
    <w:p w14:paraId="76D3CA30" w14:textId="77777777" w:rsidR="00826E00" w:rsidRDefault="00C669D7" w:rsidP="00207C2A">
      <w:pPr>
        <w:jc w:val="both"/>
      </w:pPr>
      <w:r>
        <w:t>„Energiamajanduse arengukavas aastani 2035“ niisuguste tingimustega hankele ei viidata. Eleringi viimase „Eesti elektrivarustuskindluse aruande“ ptk-s 4.2.4 on märgitud: „Sellisteks juhtudeks, et kustunud elektrisüsteemi taaspingestada, on Eleringi juhtimiskeskus välja töötanud vastavad taastamiskavad. Nende kavade alusel on Eesti elektrisüsteemi pingestamiseks ja taaskäivitamiseks võimalik:</w:t>
      </w:r>
    </w:p>
    <w:p w14:paraId="132D7FB3" w14:textId="77777777" w:rsidR="000E617E" w:rsidRDefault="00C669D7" w:rsidP="00207C2A">
      <w:pPr>
        <w:jc w:val="both"/>
      </w:pPr>
      <w:r>
        <w:t xml:space="preserve"> • kasutada EstLink 1 „black start“ ehk nullist käivitamise funktsiooni;</w:t>
      </w:r>
    </w:p>
    <w:p w14:paraId="0E785232" w14:textId="77777777" w:rsidR="000E617E" w:rsidRDefault="00C669D7" w:rsidP="00207C2A">
      <w:pPr>
        <w:jc w:val="both"/>
      </w:pPr>
      <w:r>
        <w:t xml:space="preserve">• pingestada Eesti elektrisüsteem Eestit naaberelektrisüsteemidega ühendavate riikidevaheliste liinide kaudu; </w:t>
      </w:r>
    </w:p>
    <w:p w14:paraId="4F08BCA8" w14:textId="77777777" w:rsidR="000E617E" w:rsidRDefault="00C669D7" w:rsidP="00207C2A">
      <w:pPr>
        <w:jc w:val="both"/>
      </w:pPr>
      <w:r>
        <w:t xml:space="preserve">• kasutada Eleringi avariireservelektrijaamasid Kiisal.“ </w:t>
      </w:r>
    </w:p>
    <w:p w14:paraId="7F7AFDC4" w14:textId="38F5F6C5" w:rsidR="00C669D7" w:rsidRDefault="00C669D7" w:rsidP="00207C2A">
      <w:pPr>
        <w:jc w:val="both"/>
      </w:pPr>
      <w:r>
        <w:t xml:space="preserve">Sama aruande ptk-s 6.1.4 on märgitud: „Taastevõimekuse keskne element on nii elektriliinide ja alajaamade tehniline taastamine kui ka süsteemi taaskäivitamise võimekus, mis tähendab elektrisüsteemi käivitamist nullist, ilma välise toiteallikata. Selleks kasutatakse suuremaid elektrijaamasid või naabersüsteeme, mis võimaldavad järk-järgult taastada võrgu stabiilsuse. Traditsiooniliselt on süsteemi taaskäivitamise ressursid olnud hüdrojaamad, spetsiaalsed avariielektrijaamad või baaskoormusjaamades spetsiaalselt taaskäivitamiseks kohandatud energiaplokid, kuid üha enam uuritakse ka süsteemi toetamiseks käivitamise protsessis akupõhiseid ja inverterlahendusi, mis pakuvad paindlikkust ja kiiret reageerimisvõimet.“ Kuskilt ei nähtu, miks nende võimalustega enam ei arvestata ning kust tekkis vahepeal niisuguses mahus taaskäivitamise võimekuse teenuse hankimise vajadus. </w:t>
      </w:r>
    </w:p>
    <w:p w14:paraId="3951FD3D" w14:textId="77777777" w:rsidR="00355D3D" w:rsidRDefault="00355D3D" w:rsidP="00207C2A">
      <w:pPr>
        <w:jc w:val="both"/>
      </w:pPr>
    </w:p>
    <w:p w14:paraId="1989DED8" w14:textId="7989218A" w:rsidR="007C2B79" w:rsidRPr="007C2B79" w:rsidRDefault="14E6E385" w:rsidP="77902A7F">
      <w:pPr>
        <w:jc w:val="both"/>
        <w:rPr>
          <w:i/>
          <w:iCs/>
          <w:u w:val="single"/>
        </w:rPr>
      </w:pPr>
      <w:r w:rsidRPr="77902A7F">
        <w:rPr>
          <w:i/>
          <w:iCs/>
          <w:u w:val="single"/>
        </w:rPr>
        <w:t>Eleringi vastus: Juhime tähelepanu konsultatsiooni lisa 2 punktis 1 toodud viidetele halvenenud geopoliitilisele olukorrale ja Ibeeria poolsaare juhtumile. Nõustume, et viidatud Elektrivarustuskindluse aruandes toodud taastekavad on olemas ja ka täna on olemasolevate varade najal võimalik süsteem taaspingestada kuid peame arvestama ka olukorraga</w:t>
      </w:r>
      <w:r w:rsidR="3F1606C8" w:rsidRPr="77902A7F">
        <w:rPr>
          <w:i/>
          <w:iCs/>
          <w:u w:val="single"/>
        </w:rPr>
        <w:t>,</w:t>
      </w:r>
      <w:r w:rsidRPr="77902A7F">
        <w:rPr>
          <w:i/>
          <w:iCs/>
          <w:u w:val="single"/>
        </w:rPr>
        <w:t xml:space="preserve"> kus mingil põhjusel AREJ ja EL1 kättesaadavad ei ole. Lisaks sellele ei saa alatähtsustada hajutatuse aspekti, kus täna puudub võimekus näiteks põhja-Eesti piirkonna suuremahulise rikke korral lõuna-Eestit taaspingestada.</w:t>
      </w:r>
    </w:p>
    <w:p w14:paraId="2C665538" w14:textId="77777777" w:rsidR="00C669D7" w:rsidRDefault="00C669D7" w:rsidP="00207C2A">
      <w:pPr>
        <w:jc w:val="both"/>
      </w:pPr>
      <w:r>
        <w:lastRenderedPageBreak/>
        <w:t xml:space="preserve">900 MW on niisiis (k.a võrreldes seniste analüüsidega) üledimensioneeritud, tekitades suures mahus pikaajalisi kasutuseta varasid. </w:t>
      </w:r>
    </w:p>
    <w:p w14:paraId="7E82A3BA" w14:textId="77777777" w:rsidR="00355D3D" w:rsidRDefault="00355D3D" w:rsidP="00207C2A">
      <w:pPr>
        <w:jc w:val="both"/>
      </w:pPr>
    </w:p>
    <w:p w14:paraId="2E9CDF26" w14:textId="62E11066" w:rsidR="007C2B79" w:rsidRDefault="007C2B79" w:rsidP="00207C2A">
      <w:pPr>
        <w:jc w:val="both"/>
        <w:rPr>
          <w:i/>
          <w:iCs/>
          <w:u w:val="single"/>
        </w:rPr>
      </w:pPr>
      <w:r w:rsidRPr="007C2B79">
        <w:rPr>
          <w:i/>
          <w:iCs/>
          <w:u w:val="single"/>
        </w:rPr>
        <w:t>Eleringi vastus: Võttes aluseks Eesti tiputarbimise (1723 MW) ei ole Elering nõus, et nimetatud 900 MW oleks üledimensioneerimine. Soovime eraldi rõhutada, et tulenevalt tehnoloogiate eripäradest ei ole olemas universaalset seadet, mis suudaks suurel hulgal tundidest edukalt konkureerida energiaturgudel, olla juhitav ja kiirelt käivituv. Soovides suurendada süsteemi kriisikindlust, on paratamatu lisada sinna elemente, mis igapäevaselt kasutust ei leia.</w:t>
      </w:r>
    </w:p>
    <w:p w14:paraId="6ABF2170" w14:textId="77777777" w:rsidR="00355D3D" w:rsidRPr="007C2B79" w:rsidRDefault="00355D3D" w:rsidP="00207C2A">
      <w:pPr>
        <w:jc w:val="both"/>
        <w:rPr>
          <w:i/>
          <w:iCs/>
          <w:u w:val="single"/>
        </w:rPr>
      </w:pPr>
    </w:p>
    <w:p w14:paraId="6CE0197C" w14:textId="77777777" w:rsidR="00C669D7" w:rsidRDefault="00C669D7" w:rsidP="00207C2A">
      <w:pPr>
        <w:jc w:val="both"/>
      </w:pPr>
      <w:r>
        <w:t xml:space="preserve">Kliimaministeerium on ka möönnud, et sisuliselt on tegemist uute juhitava võimsusega reservjaamade, mitte nii väga black start võimekusega. </w:t>
      </w:r>
    </w:p>
    <w:p w14:paraId="6C3EA993" w14:textId="77777777" w:rsidR="00C669D7" w:rsidRDefault="00C669D7" w:rsidP="00207C2A">
      <w:pPr>
        <w:jc w:val="both"/>
      </w:pPr>
      <w:r>
        <w:t xml:space="preserve">Eeltoodust olenemata ja kriisiolukordade riski arvestades tuleks ühiskondliku kogukulu vaates läbi arvutada ja analüüsida niisuguses mahus uute (väidetavalt black start) elektrijaamade rajamise asemel tarbimise allakoormamise võimalused (st kogukulu mõttes on ilmselt soodsam maksta suurtarbijatele lepingulist tasu allakoormamise eest – niisugust lahendust kasutatakse teadaolevalt Soomes). </w:t>
      </w:r>
    </w:p>
    <w:p w14:paraId="68782C05" w14:textId="77777777" w:rsidR="00355D3D" w:rsidRDefault="00355D3D" w:rsidP="00207C2A">
      <w:pPr>
        <w:jc w:val="both"/>
      </w:pPr>
    </w:p>
    <w:p w14:paraId="00720DF6" w14:textId="11F8C21E" w:rsidR="007C2B79" w:rsidRDefault="00FC10FA" w:rsidP="1A0E356A">
      <w:pPr>
        <w:jc w:val="both"/>
        <w:rPr>
          <w:i/>
          <w:iCs/>
          <w:u w:val="single"/>
        </w:rPr>
      </w:pPr>
      <w:r w:rsidRPr="1A0E356A">
        <w:rPr>
          <w:i/>
          <w:iCs/>
          <w:u w:val="single"/>
        </w:rPr>
        <w:t>Eleringi vastus: Juhime tähelepanu, et süsteemi taaskäivitamist tingival hetkel on süsteem (sh tarbimine) ilma toiteta ja seetõttu ei ole allakoormamine võimalik. Viidatud paindlikku tarbimist kasutatakse ka Eestis</w:t>
      </w:r>
      <w:r w:rsidR="71AD85AB" w:rsidRPr="1A0E356A">
        <w:rPr>
          <w:i/>
          <w:iCs/>
          <w:u w:val="single"/>
        </w:rPr>
        <w:t xml:space="preserve"> (</w:t>
      </w:r>
      <w:r w:rsidRPr="1A0E356A">
        <w:rPr>
          <w:i/>
          <w:iCs/>
          <w:u w:val="single"/>
        </w:rPr>
        <w:t>näiteks reserviturud</w:t>
      </w:r>
      <w:r w:rsidR="0C284614" w:rsidRPr="1A0E356A">
        <w:rPr>
          <w:i/>
          <w:iCs/>
          <w:u w:val="single"/>
        </w:rPr>
        <w:t>) süsteemi stabiilsuse hoidmisel, kuid neid ei saa kasutada taaskäivitamiseks</w:t>
      </w:r>
      <w:r w:rsidRPr="1A0E356A">
        <w:rPr>
          <w:i/>
          <w:iCs/>
          <w:u w:val="single"/>
        </w:rPr>
        <w:t>.</w:t>
      </w:r>
    </w:p>
    <w:p w14:paraId="08974934" w14:textId="77777777" w:rsidR="00355D3D" w:rsidRPr="00FC10FA" w:rsidRDefault="00355D3D" w:rsidP="00207C2A">
      <w:pPr>
        <w:jc w:val="both"/>
        <w:rPr>
          <w:i/>
          <w:iCs/>
          <w:u w:val="single"/>
        </w:rPr>
      </w:pPr>
    </w:p>
    <w:p w14:paraId="3AFC4C3C" w14:textId="2EDBA97E" w:rsidR="00C669D7" w:rsidRDefault="00C669D7" w:rsidP="00207C2A">
      <w:pPr>
        <w:jc w:val="both"/>
      </w:pPr>
      <w:r>
        <w:t xml:space="preserve">Hanketingimused on põhjendamatult piiravad ja diskrimineerivad. </w:t>
      </w:r>
    </w:p>
    <w:p w14:paraId="7C057FEC" w14:textId="77777777" w:rsidR="00C669D7" w:rsidRDefault="00C669D7" w:rsidP="00207C2A">
      <w:pPr>
        <w:jc w:val="both"/>
      </w:pPr>
      <w:r>
        <w:t xml:space="preserve">Hangitava võimsuse maht ja pärast käivitumist ette nähtud võimsusvahemikus 48 järjestikkuse tunni elektrienergia tootmise nõue tähendab, et hange on tingimuste kaudu selgelt suunatud uute fossiilsetel kütustel toimivate elektrijaamade (gaasielektrijaamade) rajamisele. Samuti, käivituskiirus mitte rohkem kui 15 minutit täisvõimsuse saavutamiseni ei ole taaskäivitamise puhul tehniliselt vajalik, kuivõrd taaskäivitamisel toimub võimsuste lisamine üksteise järel, mitte korraga. Kogumis on eelviidatud tingimused põhjendamatult piiravad ning suunatud ühe tehnoloogia (gaasielektrijaam) kasutamisele. Kusjuures, ka gaasielektrijaamade puhul on tehnoloogiliselt olemas lahendusi, mis on pikema käivitusaja puhul tõhusamad ja odavamad. Niisugused tingimused on seega diskrimineerivad, põhjendamatud, ebaproportsionaalsed, ebatõhusad ja suurendavad projektide keerukust, kulusid ja menetlusaegasid. </w:t>
      </w:r>
    </w:p>
    <w:p w14:paraId="74AD36C1" w14:textId="4AD31377" w:rsidR="00A32C34" w:rsidRDefault="00FC10FA" w:rsidP="00A32C34">
      <w:pPr>
        <w:jc w:val="both"/>
        <w:rPr>
          <w:i/>
          <w:iCs/>
          <w:u w:val="single"/>
        </w:rPr>
      </w:pPr>
      <w:r w:rsidRPr="00A32C34">
        <w:rPr>
          <w:i/>
          <w:iCs/>
          <w:u w:val="single"/>
        </w:rPr>
        <w:lastRenderedPageBreak/>
        <w:t xml:space="preserve">Eleringi vastus: </w:t>
      </w:r>
      <w:r w:rsidR="00A32C34" w:rsidRPr="00A32C34">
        <w:rPr>
          <w:i/>
          <w:iCs/>
          <w:u w:val="single"/>
        </w:rPr>
        <w:t xml:space="preserve">Juhime tähelepanu, et kasutatav tehnoloogia ei ole mingil viisil piiratud. Viitame lisa 2 punktis 1 toodud põhjendustele ja lisame, et kriisisituatsioonis on oluline alustada taastamist võimalikult kiiresti. Vastavalt Eleringi teostatud analüüsidele võib süsteemi taaskäivitamiseks kuluda ka oluliselt pikem aeg, kui hetkel sätestatud 48 h. Vajalik järjestikkuse töötamise aeg sõltub ka sellest, kui mitmest asukohast korraga on võimalik taaskäivitamisega alustada ehk siis hanke tulemustest. </w:t>
      </w:r>
    </w:p>
    <w:p w14:paraId="478127C5" w14:textId="77777777" w:rsidR="000B0045" w:rsidRPr="00A32C34" w:rsidRDefault="000B0045" w:rsidP="00A32C34">
      <w:pPr>
        <w:jc w:val="both"/>
        <w:rPr>
          <w:i/>
          <w:iCs/>
          <w:u w:val="single"/>
        </w:rPr>
      </w:pPr>
    </w:p>
    <w:p w14:paraId="7A0970AD" w14:textId="3E03980B" w:rsidR="00C669D7" w:rsidRDefault="00C669D7" w:rsidP="00207C2A">
      <w:pPr>
        <w:jc w:val="both"/>
      </w:pPr>
      <w:r>
        <w:t>Lisaks, mujal Euroopas on suund pigem taastuvenergia tootmisvõimsuste, akusalvestite ja välisühenduste kombineerimisele, mitte uute suurte gaasielektrijaamade rajamisele. Itaalias sõlmis ülekandesüsteemi operaator Terna 2025. aastal 15-aastased lepingud ca 10 GWh akusalvestivõimsusega keskmise kestusajaga 6,6 tundi. Itaalia võimsusturu oksjonitel on energiasalvestus moodustanud üle poole kõigist uutest lepingulistest võimsustest. Poolas on akusalvestid integreeritud võimsusturule alates 2022. aastast ja nelja oksjoni tulemusel on lepinguliselt planeeritud hinnanguliselt 11 GW akusalvestusvõimsust. Belgia võimsusturu viimases hankes eelistati ainult BESS-lahendusi. Saksamaal on samalaadses arutelus vähendatud algselt kavandatud gaasijaamade mahtu poole võrra. Valdkonna kirjanduses on Saksamaa näitel selgitatud, et back-up võimekuste hankes gaasielektrijaamade eelistamine ja akusalvestitele mitte võrdse osalemisvõimaluse andmine tähendab (aastakümneteks pikendatud) sõltuvust gaasiimpordist (</w:t>
      </w:r>
      <w:hyperlink r:id="rId8" w:history="1">
        <w:r w:rsidR="00A32C34" w:rsidRPr="00033CF8">
          <w:rPr>
            <w:rStyle w:val="Hyperlink"/>
          </w:rPr>
          <w:t>https://ember-energy.org/latest-insights/germanys-battery-opportunity/</w:t>
        </w:r>
      </w:hyperlink>
      <w:r>
        <w:t>).</w:t>
      </w:r>
    </w:p>
    <w:p w14:paraId="0D5106CC" w14:textId="77777777" w:rsidR="000B0045" w:rsidRDefault="000B0045" w:rsidP="00207C2A">
      <w:pPr>
        <w:jc w:val="both"/>
      </w:pPr>
    </w:p>
    <w:p w14:paraId="4FEBE52E" w14:textId="508B02D4" w:rsidR="000B0045" w:rsidRDefault="00A32C34" w:rsidP="1A0E356A">
      <w:pPr>
        <w:jc w:val="both"/>
        <w:rPr>
          <w:i/>
          <w:iCs/>
          <w:u w:val="single"/>
        </w:rPr>
      </w:pPr>
      <w:r w:rsidRPr="1A0E356A">
        <w:rPr>
          <w:i/>
          <w:iCs/>
          <w:u w:val="single"/>
        </w:rPr>
        <w:t xml:space="preserve">Eleringi vastus: </w:t>
      </w:r>
      <w:r w:rsidR="000B0045" w:rsidRPr="1A0E356A">
        <w:rPr>
          <w:i/>
          <w:iCs/>
          <w:u w:val="single"/>
        </w:rPr>
        <w:t xml:space="preserve">Juhime tähelepanu, et lõigus on kirjeldatud võimsusturge, mis oma olemuselt erinevad taaskäivituse võimekusest. </w:t>
      </w:r>
    </w:p>
    <w:p w14:paraId="215136D7" w14:textId="77777777" w:rsidR="000B0045" w:rsidRDefault="000B0045" w:rsidP="0024447D">
      <w:pPr>
        <w:jc w:val="both"/>
        <w:rPr>
          <w:i/>
          <w:iCs/>
          <w:u w:val="single"/>
        </w:rPr>
      </w:pPr>
    </w:p>
    <w:p w14:paraId="7461F571" w14:textId="12E237F8" w:rsidR="00F61881" w:rsidRDefault="00C669D7" w:rsidP="0024447D">
      <w:pPr>
        <w:jc w:val="both"/>
      </w:pPr>
      <w:r>
        <w:t>Eesti vaates mõistlikuim lahendus võiks tõenäoliselt olla, et taaskäivitamise võimekust (niisuguse vajaduse/puudujäägi tuvastamisel põhjaliku analüüsi tulemusena) pakuvad mingis osas, näiteks 300-400 MW fossiilsetel kütustel elektrijaamad (gaasielektrijaamad) ning ülejäänud osas (500-600 MW)  akusalvestid kombineeritult tuuleenergia tootmisvõimsustega.</w:t>
      </w:r>
    </w:p>
    <w:p w14:paraId="242E09CC" w14:textId="77777777" w:rsidR="000B0045" w:rsidRDefault="000B0045" w:rsidP="0024447D">
      <w:pPr>
        <w:jc w:val="both"/>
      </w:pPr>
    </w:p>
    <w:p w14:paraId="066CB9EC" w14:textId="431752A5" w:rsidR="000B0045" w:rsidRPr="000B0045" w:rsidRDefault="000B0045" w:rsidP="0024447D">
      <w:pPr>
        <w:jc w:val="both"/>
        <w:rPr>
          <w:i/>
          <w:iCs/>
          <w:u w:val="single"/>
        </w:rPr>
      </w:pPr>
      <w:r w:rsidRPr="000B0045">
        <w:rPr>
          <w:i/>
          <w:iCs/>
          <w:u w:val="single"/>
        </w:rPr>
        <w:t>Eleringi vastus: Võrgu taaspingestamise vaatest ei ole oluline, millise tehnoloogiaga tulemus saavutatakse kuniks nõutud tingimused on täidetud.</w:t>
      </w:r>
    </w:p>
    <w:sectPr w:rsidR="000B0045" w:rsidRPr="000B0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60F0"/>
    <w:multiLevelType w:val="hybridMultilevel"/>
    <w:tmpl w:val="4754CF9C"/>
    <w:lvl w:ilvl="0" w:tplc="53F6870C">
      <w:start w:val="1"/>
      <w:numFmt w:val="lowerLetter"/>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586E4272"/>
    <w:multiLevelType w:val="hybridMultilevel"/>
    <w:tmpl w:val="E408C2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74028388">
    <w:abstractNumId w:val="1"/>
  </w:num>
  <w:num w:numId="2" w16cid:durableId="193339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FBD"/>
    <w:rsid w:val="000354D4"/>
    <w:rsid w:val="00064246"/>
    <w:rsid w:val="00064DC5"/>
    <w:rsid w:val="000B0045"/>
    <w:rsid w:val="000B434C"/>
    <w:rsid w:val="000D1188"/>
    <w:rsid w:val="000E42FB"/>
    <w:rsid w:val="000E617E"/>
    <w:rsid w:val="00125BCF"/>
    <w:rsid w:val="00141667"/>
    <w:rsid w:val="00146C42"/>
    <w:rsid w:val="00181D42"/>
    <w:rsid w:val="00207C2A"/>
    <w:rsid w:val="0024447D"/>
    <w:rsid w:val="00274297"/>
    <w:rsid w:val="00290FF7"/>
    <w:rsid w:val="002E0F66"/>
    <w:rsid w:val="002E477F"/>
    <w:rsid w:val="00355D3D"/>
    <w:rsid w:val="003C6451"/>
    <w:rsid w:val="004F3B18"/>
    <w:rsid w:val="00511F71"/>
    <w:rsid w:val="00575565"/>
    <w:rsid w:val="005B3AD7"/>
    <w:rsid w:val="0060427A"/>
    <w:rsid w:val="00636D03"/>
    <w:rsid w:val="00674178"/>
    <w:rsid w:val="00681ED2"/>
    <w:rsid w:val="006B6CB8"/>
    <w:rsid w:val="006F3F56"/>
    <w:rsid w:val="006F46DE"/>
    <w:rsid w:val="0070677D"/>
    <w:rsid w:val="0072581B"/>
    <w:rsid w:val="00737A8C"/>
    <w:rsid w:val="0077721B"/>
    <w:rsid w:val="00777295"/>
    <w:rsid w:val="007C2B79"/>
    <w:rsid w:val="00826E00"/>
    <w:rsid w:val="008675B8"/>
    <w:rsid w:val="0089102F"/>
    <w:rsid w:val="00912E2C"/>
    <w:rsid w:val="009920AD"/>
    <w:rsid w:val="009E631A"/>
    <w:rsid w:val="00A003E5"/>
    <w:rsid w:val="00A216B4"/>
    <w:rsid w:val="00A32C34"/>
    <w:rsid w:val="00A65922"/>
    <w:rsid w:val="00AB4726"/>
    <w:rsid w:val="00AF06A3"/>
    <w:rsid w:val="00B10EA5"/>
    <w:rsid w:val="00B42BE2"/>
    <w:rsid w:val="00B82F42"/>
    <w:rsid w:val="00BD7C68"/>
    <w:rsid w:val="00BF3550"/>
    <w:rsid w:val="00C0670E"/>
    <w:rsid w:val="00C669D7"/>
    <w:rsid w:val="00D02F6F"/>
    <w:rsid w:val="00D32102"/>
    <w:rsid w:val="00D41507"/>
    <w:rsid w:val="00D7721D"/>
    <w:rsid w:val="00E261C3"/>
    <w:rsid w:val="00E45FBD"/>
    <w:rsid w:val="00E537A8"/>
    <w:rsid w:val="00EE20AE"/>
    <w:rsid w:val="00F21544"/>
    <w:rsid w:val="00F61881"/>
    <w:rsid w:val="00F66168"/>
    <w:rsid w:val="00FC10FA"/>
    <w:rsid w:val="04C337A3"/>
    <w:rsid w:val="077F4E02"/>
    <w:rsid w:val="0C284614"/>
    <w:rsid w:val="14E6E385"/>
    <w:rsid w:val="1A0E356A"/>
    <w:rsid w:val="3F1606C8"/>
    <w:rsid w:val="5866AE63"/>
    <w:rsid w:val="71AD85AB"/>
    <w:rsid w:val="77902A7F"/>
    <w:rsid w:val="79C73B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415DA"/>
  <w15:chartTrackingRefBased/>
  <w15:docId w15:val="{CBD89A43-6D14-4DF2-B8A7-7B41A79E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FBD"/>
    <w:rPr>
      <w:rFonts w:eastAsiaTheme="majorEastAsia" w:cstheme="majorBidi"/>
      <w:color w:val="272727" w:themeColor="text1" w:themeTint="D8"/>
    </w:rPr>
  </w:style>
  <w:style w:type="paragraph" w:styleId="Title">
    <w:name w:val="Title"/>
    <w:basedOn w:val="Normal"/>
    <w:next w:val="Normal"/>
    <w:link w:val="TitleChar"/>
    <w:uiPriority w:val="10"/>
    <w:qFormat/>
    <w:rsid w:val="00E45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F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FBD"/>
    <w:pPr>
      <w:spacing w:before="160"/>
      <w:jc w:val="center"/>
    </w:pPr>
    <w:rPr>
      <w:i/>
      <w:iCs/>
      <w:color w:val="404040" w:themeColor="text1" w:themeTint="BF"/>
    </w:rPr>
  </w:style>
  <w:style w:type="character" w:customStyle="1" w:styleId="QuoteChar">
    <w:name w:val="Quote Char"/>
    <w:basedOn w:val="DefaultParagraphFont"/>
    <w:link w:val="Quote"/>
    <w:uiPriority w:val="29"/>
    <w:rsid w:val="00E45FBD"/>
    <w:rPr>
      <w:i/>
      <w:iCs/>
      <w:color w:val="404040" w:themeColor="text1" w:themeTint="BF"/>
    </w:rPr>
  </w:style>
  <w:style w:type="paragraph" w:styleId="ListParagraph">
    <w:name w:val="List Paragraph"/>
    <w:basedOn w:val="Normal"/>
    <w:uiPriority w:val="34"/>
    <w:qFormat/>
    <w:rsid w:val="00E45FBD"/>
    <w:pPr>
      <w:ind w:left="720"/>
      <w:contextualSpacing/>
    </w:pPr>
  </w:style>
  <w:style w:type="character" w:styleId="IntenseEmphasis">
    <w:name w:val="Intense Emphasis"/>
    <w:basedOn w:val="DefaultParagraphFont"/>
    <w:uiPriority w:val="21"/>
    <w:qFormat/>
    <w:rsid w:val="00E45FBD"/>
    <w:rPr>
      <w:i/>
      <w:iCs/>
      <w:color w:val="0F4761" w:themeColor="accent1" w:themeShade="BF"/>
    </w:rPr>
  </w:style>
  <w:style w:type="paragraph" w:styleId="IntenseQuote">
    <w:name w:val="Intense Quote"/>
    <w:basedOn w:val="Normal"/>
    <w:next w:val="Normal"/>
    <w:link w:val="IntenseQuoteChar"/>
    <w:uiPriority w:val="30"/>
    <w:qFormat/>
    <w:rsid w:val="00E45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FBD"/>
    <w:rPr>
      <w:i/>
      <w:iCs/>
      <w:color w:val="0F4761" w:themeColor="accent1" w:themeShade="BF"/>
    </w:rPr>
  </w:style>
  <w:style w:type="character" w:styleId="IntenseReference">
    <w:name w:val="Intense Reference"/>
    <w:basedOn w:val="DefaultParagraphFont"/>
    <w:uiPriority w:val="32"/>
    <w:qFormat/>
    <w:rsid w:val="00E45FBD"/>
    <w:rPr>
      <w:b/>
      <w:bCs/>
      <w:smallCaps/>
      <w:color w:val="0F4761" w:themeColor="accent1" w:themeShade="BF"/>
      <w:spacing w:val="5"/>
    </w:rPr>
  </w:style>
  <w:style w:type="character" w:styleId="CommentReference">
    <w:name w:val="annotation reference"/>
    <w:basedOn w:val="DefaultParagraphFont"/>
    <w:uiPriority w:val="99"/>
    <w:semiHidden/>
    <w:unhideWhenUsed/>
    <w:rsid w:val="00C669D7"/>
    <w:rPr>
      <w:sz w:val="16"/>
      <w:szCs w:val="16"/>
    </w:rPr>
  </w:style>
  <w:style w:type="paragraph" w:styleId="CommentText">
    <w:name w:val="annotation text"/>
    <w:basedOn w:val="Normal"/>
    <w:link w:val="CommentTextChar"/>
    <w:uiPriority w:val="99"/>
    <w:unhideWhenUsed/>
    <w:rsid w:val="00C669D7"/>
    <w:pPr>
      <w:spacing w:line="240" w:lineRule="auto"/>
    </w:pPr>
    <w:rPr>
      <w:sz w:val="20"/>
      <w:szCs w:val="20"/>
    </w:rPr>
  </w:style>
  <w:style w:type="character" w:customStyle="1" w:styleId="CommentTextChar">
    <w:name w:val="Comment Text Char"/>
    <w:basedOn w:val="DefaultParagraphFont"/>
    <w:link w:val="CommentText"/>
    <w:uiPriority w:val="99"/>
    <w:rsid w:val="00C669D7"/>
    <w:rPr>
      <w:sz w:val="20"/>
      <w:szCs w:val="20"/>
    </w:rPr>
  </w:style>
  <w:style w:type="paragraph" w:styleId="CommentSubject">
    <w:name w:val="annotation subject"/>
    <w:basedOn w:val="CommentText"/>
    <w:next w:val="CommentText"/>
    <w:link w:val="CommentSubjectChar"/>
    <w:uiPriority w:val="99"/>
    <w:semiHidden/>
    <w:unhideWhenUsed/>
    <w:rsid w:val="00C669D7"/>
    <w:rPr>
      <w:b/>
      <w:bCs/>
    </w:rPr>
  </w:style>
  <w:style w:type="character" w:customStyle="1" w:styleId="CommentSubjectChar">
    <w:name w:val="Comment Subject Char"/>
    <w:basedOn w:val="CommentTextChar"/>
    <w:link w:val="CommentSubject"/>
    <w:uiPriority w:val="99"/>
    <w:semiHidden/>
    <w:rsid w:val="00C669D7"/>
    <w:rPr>
      <w:b/>
      <w:bCs/>
      <w:sz w:val="20"/>
      <w:szCs w:val="20"/>
    </w:rPr>
  </w:style>
  <w:style w:type="character" w:styleId="Hyperlink">
    <w:name w:val="Hyperlink"/>
    <w:basedOn w:val="DefaultParagraphFont"/>
    <w:uiPriority w:val="99"/>
    <w:unhideWhenUsed/>
    <w:rsid w:val="00A32C34"/>
    <w:rPr>
      <w:color w:val="467886" w:themeColor="hyperlink"/>
      <w:u w:val="single"/>
    </w:rPr>
  </w:style>
  <w:style w:type="character" w:styleId="UnresolvedMention">
    <w:name w:val="Unresolved Mention"/>
    <w:basedOn w:val="DefaultParagraphFont"/>
    <w:uiPriority w:val="99"/>
    <w:semiHidden/>
    <w:unhideWhenUsed/>
    <w:rsid w:val="00A32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ber-energy.org/latest-insights/germanys-battery-opportunity/"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8" ma:contentTypeDescription="Create a new document." ma:contentTypeScope="" ma:versionID="e2d9d6024399eb8ac463f8954cfcd3f5">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d3a8298e88b5ca5b77d5749b0ccccac6"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b60cd-b06e-4905-bb6c-c9c9a22fc250}"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a396e9-683e-4e80-a146-12c21ed12d13" xsi:nil="true"/>
    <lcf76f155ced4ddcb4097134ff3c332f xmlns="e31ff916-cf36-4815-8f59-066548a5c6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EF4DF7-019B-45BA-8363-E026D297CA53}"/>
</file>

<file path=customXml/itemProps2.xml><?xml version="1.0" encoding="utf-8"?>
<ds:datastoreItem xmlns:ds="http://schemas.openxmlformats.org/officeDocument/2006/customXml" ds:itemID="{A4247714-3656-48D1-AC7D-A48660C21335}">
  <ds:schemaRefs>
    <ds:schemaRef ds:uri="http://schemas.microsoft.com/office/2006/metadata/properties"/>
    <ds:schemaRef ds:uri="http://schemas.microsoft.com/office/infopath/2007/PartnerControls"/>
    <ds:schemaRef ds:uri="76a396e9-683e-4e80-a146-12c21ed12d13"/>
    <ds:schemaRef ds:uri="e31ff916-cf36-4815-8f59-066548a5c626"/>
  </ds:schemaRefs>
</ds:datastoreItem>
</file>

<file path=customXml/itemProps3.xml><?xml version="1.0" encoding="utf-8"?>
<ds:datastoreItem xmlns:ds="http://schemas.openxmlformats.org/officeDocument/2006/customXml" ds:itemID="{7D8BE352-6BB4-43CA-A25F-F4A992F2D3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1525</Words>
  <Characters>8849</Characters>
  <Application>Microsoft Office Word</Application>
  <DocSecurity>0</DocSecurity>
  <Lines>73</Lines>
  <Paragraphs>20</Paragraphs>
  <ScaleCrop>false</ScaleCrop>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Oks</dc:creator>
  <cp:keywords/>
  <dc:description/>
  <cp:lastModifiedBy>Lauri Oks</cp:lastModifiedBy>
  <cp:revision>63</cp:revision>
  <dcterms:created xsi:type="dcterms:W3CDTF">2026-05-27T03:39:00Z</dcterms:created>
  <dcterms:modified xsi:type="dcterms:W3CDTF">2026-06-22T13:57:00Z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y fmtid="{D5CDD505-2E9C-101B-9397-08002B2CF9AE}" pid="3" name="MediaServiceImageTags">
    <vt:lpwstr/>
  </property>
</Properties>
</file>